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D6BB72" w14:textId="62B2EE15" w:rsidR="00573522" w:rsidRPr="00F204B6" w:rsidRDefault="00573522" w:rsidP="00573522">
      <w:pPr>
        <w:spacing w:line="240" w:lineRule="auto"/>
        <w:rPr>
          <w:rFonts w:ascii="Lato" w:hAnsi="Lato" w:cstheme="minorHAnsi"/>
          <w:bCs/>
          <w:sz w:val="20"/>
          <w:szCs w:val="20"/>
        </w:rPr>
      </w:pPr>
      <w:bookmarkStart w:id="0" w:name="_Hlk133496030"/>
      <w:bookmarkStart w:id="1" w:name="_Toc107473356"/>
      <w:r w:rsidRPr="00F204B6">
        <w:rPr>
          <w:rFonts w:ascii="Lato" w:hAnsi="Lato" w:cstheme="minorHAnsi"/>
          <w:bCs/>
          <w:sz w:val="20"/>
          <w:szCs w:val="20"/>
        </w:rPr>
        <w:t xml:space="preserve">Załącznik nr </w:t>
      </w:r>
      <w:r w:rsidR="00C853DB" w:rsidRPr="00F204B6">
        <w:rPr>
          <w:rFonts w:ascii="Lato" w:hAnsi="Lato" w:cstheme="minorHAnsi"/>
          <w:bCs/>
          <w:sz w:val="20"/>
          <w:szCs w:val="20"/>
        </w:rPr>
        <w:t>2.2</w:t>
      </w:r>
      <w:r w:rsidR="00B92E2F" w:rsidRPr="00F204B6">
        <w:rPr>
          <w:rFonts w:ascii="Lato" w:hAnsi="Lato" w:cstheme="minorHAnsi"/>
          <w:bCs/>
          <w:sz w:val="20"/>
          <w:szCs w:val="20"/>
        </w:rPr>
        <w:t xml:space="preserve"> </w:t>
      </w:r>
      <w:r w:rsidRPr="00F204B6">
        <w:rPr>
          <w:rFonts w:ascii="Lato" w:hAnsi="Lato" w:cstheme="minorHAnsi"/>
          <w:bCs/>
          <w:sz w:val="20"/>
          <w:szCs w:val="20"/>
        </w:rPr>
        <w:t xml:space="preserve">do </w:t>
      </w:r>
      <w:r w:rsidR="00B45EA0" w:rsidRPr="00F204B6">
        <w:rPr>
          <w:rFonts w:ascii="Lato" w:hAnsi="Lato" w:cstheme="minorHAnsi"/>
          <w:bCs/>
          <w:sz w:val="20"/>
          <w:szCs w:val="20"/>
        </w:rPr>
        <w:t xml:space="preserve">Regulaminu wyboru </w:t>
      </w:r>
    </w:p>
    <w:p w14:paraId="0F3A2354" w14:textId="77777777" w:rsidR="001B1F67" w:rsidRPr="00F204B6" w:rsidRDefault="001B1F67" w:rsidP="00573522">
      <w:pPr>
        <w:spacing w:line="240" w:lineRule="auto"/>
        <w:rPr>
          <w:rFonts w:ascii="Lato" w:hAnsi="Lato" w:cstheme="minorHAnsi"/>
          <w:bCs/>
          <w:sz w:val="20"/>
          <w:szCs w:val="20"/>
        </w:rPr>
      </w:pPr>
    </w:p>
    <w:p w14:paraId="74B0AD03" w14:textId="4729A668" w:rsidR="001B1F67" w:rsidRPr="00F204B6" w:rsidRDefault="00B92E2F" w:rsidP="00F84E2E">
      <w:pPr>
        <w:spacing w:after="120" w:line="360" w:lineRule="auto"/>
        <w:jc w:val="center"/>
        <w:rPr>
          <w:rFonts w:ascii="Lato" w:hAnsi="Lato" w:cstheme="minorHAnsi"/>
          <w:b/>
          <w:sz w:val="20"/>
          <w:szCs w:val="20"/>
        </w:rPr>
      </w:pPr>
      <w:r w:rsidRPr="00F204B6">
        <w:rPr>
          <w:rFonts w:ascii="Lato" w:hAnsi="Lato" w:cstheme="minorHAnsi"/>
          <w:b/>
          <w:sz w:val="20"/>
          <w:szCs w:val="20"/>
        </w:rPr>
        <w:t xml:space="preserve">Szczegółowe warunki uznania wydatków za kwalifikowalne </w:t>
      </w:r>
      <w:r w:rsidR="007C45FB" w:rsidRPr="00F204B6">
        <w:rPr>
          <w:rFonts w:ascii="Lato" w:hAnsi="Lato" w:cstheme="minorHAnsi"/>
          <w:b/>
          <w:sz w:val="20"/>
          <w:szCs w:val="20"/>
        </w:rPr>
        <w:br/>
      </w:r>
      <w:r w:rsidRPr="00F204B6">
        <w:rPr>
          <w:rFonts w:ascii="Lato" w:hAnsi="Lato" w:cstheme="minorHAnsi"/>
          <w:b/>
          <w:sz w:val="20"/>
          <w:szCs w:val="20"/>
        </w:rPr>
        <w:t xml:space="preserve">w ramach </w:t>
      </w:r>
      <w:r w:rsidR="00EF2084" w:rsidRPr="00F204B6">
        <w:rPr>
          <w:rFonts w:ascii="Lato" w:hAnsi="Lato" w:cstheme="minorHAnsi"/>
          <w:b/>
          <w:sz w:val="20"/>
          <w:szCs w:val="20"/>
        </w:rPr>
        <w:t xml:space="preserve">inwestycji </w:t>
      </w:r>
      <w:r w:rsidR="00EF3ED3" w:rsidRPr="00F204B6">
        <w:rPr>
          <w:rFonts w:ascii="Lato" w:hAnsi="Lato" w:cstheme="minorHAnsi"/>
          <w:b/>
          <w:bCs/>
          <w:sz w:val="20"/>
          <w:szCs w:val="20"/>
        </w:rPr>
        <w:t>Inwestycja D1</w:t>
      </w:r>
      <w:r w:rsidR="00EF2084" w:rsidRPr="00F204B6">
        <w:rPr>
          <w:rFonts w:ascii="Lato" w:hAnsi="Lato" w:cstheme="minorHAnsi"/>
          <w:b/>
          <w:sz w:val="20"/>
          <w:szCs w:val="20"/>
        </w:rPr>
        <w:t>.</w:t>
      </w:r>
      <w:r w:rsidR="00E779A1" w:rsidRPr="00F204B6">
        <w:rPr>
          <w:rFonts w:ascii="Lato" w:hAnsi="Lato" w:cstheme="minorHAnsi"/>
          <w:b/>
          <w:sz w:val="20"/>
          <w:szCs w:val="20"/>
        </w:rPr>
        <w:t>1</w:t>
      </w:r>
      <w:r w:rsidR="00EF2084" w:rsidRPr="00F204B6">
        <w:rPr>
          <w:rFonts w:ascii="Lato" w:hAnsi="Lato" w:cstheme="minorHAnsi"/>
          <w:b/>
          <w:sz w:val="20"/>
          <w:szCs w:val="20"/>
        </w:rPr>
        <w:t xml:space="preserve">.1 </w:t>
      </w:r>
      <w:r w:rsidR="00EF3ED3" w:rsidRPr="00F204B6">
        <w:rPr>
          <w:rFonts w:ascii="Lato" w:hAnsi="Lato" w:cstheme="minorHAnsi"/>
          <w:b/>
          <w:bCs/>
          <w:sz w:val="20"/>
          <w:szCs w:val="20"/>
        </w:rPr>
        <w:t>„</w:t>
      </w:r>
      <w:bookmarkStart w:id="2" w:name="_Hlk147318705"/>
      <w:r w:rsidRPr="00F204B6">
        <w:rPr>
          <w:rFonts w:ascii="Lato" w:hAnsi="Lato" w:cstheme="minorHAnsi"/>
          <w:b/>
          <w:sz w:val="20"/>
          <w:szCs w:val="20"/>
        </w:rPr>
        <w:t xml:space="preserve">Rozwój </w:t>
      </w:r>
      <w:r w:rsidR="00EF3ED3" w:rsidRPr="00F204B6">
        <w:rPr>
          <w:rFonts w:ascii="Lato" w:hAnsi="Lato" w:cstheme="minorHAnsi"/>
          <w:b/>
          <w:bCs/>
          <w:sz w:val="20"/>
          <w:szCs w:val="20"/>
        </w:rPr>
        <w:t>i modernizacja</w:t>
      </w:r>
      <w:r w:rsidRPr="00F204B6">
        <w:rPr>
          <w:rFonts w:ascii="Lato" w:hAnsi="Lato" w:cstheme="minorHAnsi"/>
          <w:b/>
          <w:sz w:val="20"/>
          <w:szCs w:val="20"/>
        </w:rPr>
        <w:t xml:space="preserve"> infrastruktury </w:t>
      </w:r>
      <w:r w:rsidR="00EF3ED3" w:rsidRPr="00F204B6">
        <w:rPr>
          <w:rFonts w:ascii="Lato" w:hAnsi="Lato" w:cstheme="minorHAnsi"/>
          <w:b/>
          <w:bCs/>
          <w:sz w:val="20"/>
          <w:szCs w:val="20"/>
        </w:rPr>
        <w:t xml:space="preserve">centrów opieki wysokospecjalistycznej i innych </w:t>
      </w:r>
      <w:r w:rsidRPr="00F204B6">
        <w:rPr>
          <w:rFonts w:ascii="Lato" w:hAnsi="Lato" w:cstheme="minorHAnsi"/>
          <w:b/>
          <w:sz w:val="20"/>
          <w:szCs w:val="20"/>
        </w:rPr>
        <w:t>podmiotów leczniczych</w:t>
      </w:r>
      <w:bookmarkEnd w:id="2"/>
      <w:r w:rsidR="00EF3ED3" w:rsidRPr="00F204B6">
        <w:rPr>
          <w:rFonts w:ascii="Lato" w:hAnsi="Lato" w:cstheme="minorHAnsi"/>
          <w:b/>
          <w:bCs/>
          <w:sz w:val="20"/>
          <w:szCs w:val="20"/>
        </w:rPr>
        <w:t>”,</w:t>
      </w:r>
    </w:p>
    <w:p w14:paraId="4E56E4DF" w14:textId="246B3733" w:rsidR="00D037BA" w:rsidRPr="00F204B6" w:rsidRDefault="00182594" w:rsidP="00F84E2E">
      <w:pPr>
        <w:pStyle w:val="Nagwek2"/>
        <w:spacing w:before="0" w:after="120"/>
        <w:jc w:val="center"/>
        <w:rPr>
          <w:rFonts w:ascii="Lato" w:eastAsia="Times New Roman" w:hAnsi="Lato" w:cstheme="minorHAnsi"/>
          <w:i w:val="0"/>
          <w:sz w:val="20"/>
          <w:szCs w:val="20"/>
          <w:lang w:eastAsia="pl-PL"/>
        </w:rPr>
      </w:pPr>
      <w:r w:rsidRPr="00F204B6">
        <w:rPr>
          <w:rFonts w:ascii="Lato" w:eastAsia="Times New Roman" w:hAnsi="Lato" w:cstheme="minorHAnsi"/>
          <w:i w:val="0"/>
          <w:sz w:val="20"/>
          <w:szCs w:val="20"/>
          <w:lang w:eastAsia="pl-PL"/>
        </w:rPr>
        <w:t xml:space="preserve">Rozdział 1 Ogólne warunki kwalifikowalności wydatków </w:t>
      </w:r>
    </w:p>
    <w:bookmarkEnd w:id="0"/>
    <w:p w14:paraId="089D70FB" w14:textId="36026983" w:rsidR="00407EE9" w:rsidRPr="00F204B6" w:rsidRDefault="00407EE9" w:rsidP="00AE6B06">
      <w:pPr>
        <w:pStyle w:val="Nagwek2"/>
        <w:numPr>
          <w:ilvl w:val="0"/>
          <w:numId w:val="1"/>
        </w:numPr>
        <w:spacing w:before="0" w:after="120"/>
        <w:ind w:left="357" w:hanging="357"/>
        <w:rPr>
          <w:rFonts w:ascii="Lato" w:eastAsia="Times New Roman" w:hAnsi="Lato" w:cstheme="minorHAnsi"/>
          <w:i w:val="0"/>
          <w:sz w:val="20"/>
          <w:szCs w:val="20"/>
          <w:lang w:eastAsia="pl-PL"/>
        </w:rPr>
      </w:pPr>
      <w:r w:rsidRPr="00F204B6">
        <w:rPr>
          <w:rFonts w:ascii="Lato" w:hAnsi="Lato" w:cstheme="minorHAnsi"/>
          <w:i w:val="0"/>
          <w:sz w:val="20"/>
          <w:szCs w:val="20"/>
          <w:lang w:eastAsia="pl-PL"/>
        </w:rPr>
        <w:t>Ocena kwalifikowalności przedsięwzięcia</w:t>
      </w:r>
      <w:bookmarkEnd w:id="1"/>
    </w:p>
    <w:p w14:paraId="1B5AE383" w14:textId="23A3EEE8" w:rsidR="005A3518" w:rsidRPr="00F204B6" w:rsidRDefault="00407EE9" w:rsidP="004B0F33">
      <w:pPr>
        <w:pStyle w:val="Akapitzlist"/>
        <w:numPr>
          <w:ilvl w:val="0"/>
          <w:numId w:val="4"/>
        </w:numPr>
        <w:spacing w:after="120" w:line="360" w:lineRule="auto"/>
        <w:ind w:left="714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Ocena kwalifikowalności wydatku polega na analizie zgodności jego poniesienia z </w:t>
      </w:r>
      <w:r w:rsidR="00745405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dokumentami wymienionymi poniżej oraz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obowiązującymi przepisami</w:t>
      </w:r>
      <w:r w:rsidR="005A3518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: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</w:p>
    <w:p w14:paraId="2086742E" w14:textId="2CB38617" w:rsidR="00777C7F" w:rsidRPr="00F204B6" w:rsidRDefault="00777C7F" w:rsidP="004B0F33">
      <w:pPr>
        <w:pStyle w:val="Akapitzlist"/>
        <w:numPr>
          <w:ilvl w:val="0"/>
          <w:numId w:val="10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Krajowy</w:t>
      </w:r>
      <w:r w:rsidR="006871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m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Plan</w:t>
      </w:r>
      <w:r w:rsidR="006871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em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Odbudowy i Zwiększania Odporności zwany</w:t>
      </w:r>
      <w:r w:rsidR="006871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m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dalej „</w:t>
      </w:r>
      <w:r w:rsidR="000204AC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lanem rozwojowym”</w:t>
      </w:r>
      <w:r w:rsidR="00DC521C" w:rsidRPr="00DC521C">
        <w:t xml:space="preserve"> </w:t>
      </w:r>
      <w:r w:rsidR="00DC521C" w:rsidRPr="00DC521C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(KPO), zatwierdzony decyzją wykonawczą Rady z dnia 17 czerwca 2022 r., w sprawie zatwierdzenia oceny planu odbudowy i zwiększania odporności Polski COM (2022)268;</w:t>
      </w:r>
    </w:p>
    <w:p w14:paraId="34AC3B74" w14:textId="62D71A42" w:rsidR="00777C7F" w:rsidRPr="00F204B6" w:rsidRDefault="00777C7F" w:rsidP="004B0F33">
      <w:pPr>
        <w:pStyle w:val="Akapitzlist"/>
        <w:numPr>
          <w:ilvl w:val="0"/>
          <w:numId w:val="10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Rozporządzenie</w:t>
      </w:r>
      <w:r w:rsidR="006871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m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Parlamentu Europejskiego i Rady (UE) nr 2021/241 z dnia 12 lutego 2021 r. ustanawiające Instrument na rzecz Odbudowy i Zwiększenia Odporności (Dz. Urz. UE L 57 z 18.02.2021, str. 17, z późn. zm.), zwan</w:t>
      </w:r>
      <w:r w:rsidR="006871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ym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dalej „rozporządzeniem RRF”;</w:t>
      </w:r>
    </w:p>
    <w:p w14:paraId="3B50265D" w14:textId="5CCEFC0A" w:rsidR="00777C7F" w:rsidRPr="00F204B6" w:rsidRDefault="00FA0583" w:rsidP="004B0F33">
      <w:pPr>
        <w:pStyle w:val="Akapitzlist"/>
        <w:numPr>
          <w:ilvl w:val="0"/>
          <w:numId w:val="10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A228C7">
        <w:rPr>
          <w:rFonts w:ascii="Lato" w:hAnsi="Lato" w:cs="Arial"/>
          <w:sz w:val="20"/>
          <w:szCs w:val="20"/>
        </w:rPr>
        <w:t xml:space="preserve">Rozporządzenie Parlamentu Europejskiego i Rady (UE, </w:t>
      </w:r>
      <w:proofErr w:type="spellStart"/>
      <w:r w:rsidRPr="00A228C7">
        <w:rPr>
          <w:rFonts w:ascii="Lato" w:hAnsi="Lato" w:cs="Arial"/>
          <w:sz w:val="20"/>
          <w:szCs w:val="20"/>
        </w:rPr>
        <w:t>Euratom</w:t>
      </w:r>
      <w:proofErr w:type="spellEnd"/>
      <w:r w:rsidRPr="00A228C7">
        <w:rPr>
          <w:rFonts w:ascii="Lato" w:hAnsi="Lato" w:cs="Arial"/>
          <w:sz w:val="20"/>
          <w:szCs w:val="20"/>
        </w:rPr>
        <w:t xml:space="preserve">) 2024/2509 z dnia 23 września 2024 r. w sprawie zasad finansowych mających ogólne zastosowanie do budżetu ogólnego Unii (Dz.U. L, nr 2024/2509 z </w:t>
      </w:r>
      <w:proofErr w:type="gramStart"/>
      <w:r w:rsidRPr="00A228C7">
        <w:rPr>
          <w:rFonts w:ascii="Lato" w:hAnsi="Lato" w:cs="Arial"/>
          <w:sz w:val="20"/>
          <w:szCs w:val="20"/>
        </w:rPr>
        <w:t>26.9.2024</w:t>
      </w:r>
      <w:proofErr w:type="gramEnd"/>
      <w:r w:rsidRPr="00A228C7">
        <w:rPr>
          <w:rFonts w:ascii="Lato" w:hAnsi="Lato" w:cs="Arial"/>
          <w:sz w:val="20"/>
          <w:szCs w:val="20"/>
        </w:rPr>
        <w:t xml:space="preserve"> zwane dalej „rozporządzeniem 2024/2509</w:t>
      </w:r>
      <w:r w:rsidR="001B2BF6">
        <w:rPr>
          <w:rFonts w:ascii="Lato" w:hAnsi="Lato" w:cs="Arial"/>
          <w:sz w:val="20"/>
          <w:szCs w:val="20"/>
        </w:rPr>
        <w:t>”</w:t>
      </w:r>
      <w:r w:rsidR="00777C7F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;</w:t>
      </w:r>
    </w:p>
    <w:p w14:paraId="06BFDAA5" w14:textId="3A85B801" w:rsidR="00777C7F" w:rsidRPr="00F204B6" w:rsidRDefault="00777C7F" w:rsidP="004B0F33">
      <w:pPr>
        <w:pStyle w:val="Akapitzlist"/>
        <w:numPr>
          <w:ilvl w:val="0"/>
          <w:numId w:val="10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Decyzj</w:t>
      </w:r>
      <w:r w:rsidR="006871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ą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wykonawczą Rady (UE) 2022/0181 (NLE) z dnia 17 czerwca 2022 r. w sprawie zatwierdzenia oceny planu odbudowy i zwiększania odporności Polski (</w:t>
      </w:r>
      <w:r w:rsidR="000565C8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COM (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2022) 268 </w:t>
      </w:r>
      <w:proofErr w:type="spellStart"/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final</w:t>
      </w:r>
      <w:proofErr w:type="spellEnd"/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)</w:t>
      </w:r>
      <w:r w:rsidR="000E4DA3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), </w:t>
      </w:r>
      <w:r w:rsidR="000E4DA3" w:rsidRPr="00F204B6">
        <w:rPr>
          <w:rFonts w:ascii="Lato" w:hAnsi="Lato" w:cstheme="minorHAnsi"/>
          <w:sz w:val="20"/>
          <w:szCs w:val="20"/>
        </w:rPr>
        <w:t>zmieniona decyzją (</w:t>
      </w:r>
      <w:proofErr w:type="gramStart"/>
      <w:r w:rsidR="000E4DA3" w:rsidRPr="00F204B6">
        <w:rPr>
          <w:rFonts w:ascii="Lato" w:hAnsi="Lato" w:cstheme="minorHAnsi"/>
          <w:sz w:val="20"/>
          <w:szCs w:val="20"/>
        </w:rPr>
        <w:t>COM(</w:t>
      </w:r>
      <w:proofErr w:type="gramEnd"/>
      <w:r w:rsidR="000E4DA3" w:rsidRPr="00F204B6">
        <w:rPr>
          <w:rFonts w:ascii="Lato" w:hAnsi="Lato" w:cstheme="minorHAnsi"/>
          <w:sz w:val="20"/>
          <w:szCs w:val="20"/>
        </w:rPr>
        <w:t xml:space="preserve">2023) 745 </w:t>
      </w:r>
      <w:proofErr w:type="spellStart"/>
      <w:r w:rsidR="000E4DA3" w:rsidRPr="00F204B6">
        <w:rPr>
          <w:rFonts w:ascii="Lato" w:hAnsi="Lato" w:cstheme="minorHAnsi"/>
          <w:sz w:val="20"/>
          <w:szCs w:val="20"/>
        </w:rPr>
        <w:t>final</w:t>
      </w:r>
      <w:proofErr w:type="spellEnd"/>
      <w:r w:rsidR="000E4DA3" w:rsidRPr="00F204B6">
        <w:rPr>
          <w:rFonts w:ascii="Lato" w:hAnsi="Lato" w:cstheme="minorHAnsi"/>
          <w:sz w:val="20"/>
          <w:szCs w:val="20"/>
        </w:rPr>
        <w:t>) przyjętą w dniu 8 grudnia 2023 r.</w:t>
      </w:r>
      <w:r w:rsidR="00162FE9">
        <w:rPr>
          <w:rFonts w:ascii="Lato" w:hAnsi="Lato" w:cstheme="minorHAnsi"/>
          <w:sz w:val="20"/>
          <w:szCs w:val="20"/>
        </w:rPr>
        <w:t xml:space="preserve">, </w:t>
      </w:r>
      <w:r w:rsidR="00CE1007" w:rsidRPr="00F204B6">
        <w:rPr>
          <w:rFonts w:ascii="Lato" w:hAnsi="Lato" w:cstheme="minorHAnsi"/>
          <w:sz w:val="20"/>
          <w:szCs w:val="20"/>
        </w:rPr>
        <w:t>decyzją</w:t>
      </w:r>
      <w:r w:rsidR="00BE6CF3" w:rsidRPr="00F204B6">
        <w:rPr>
          <w:rFonts w:ascii="Lato" w:hAnsi="Lato" w:cstheme="minorHAnsi"/>
          <w:sz w:val="20"/>
          <w:szCs w:val="20"/>
        </w:rPr>
        <w:t xml:space="preserve"> (</w:t>
      </w:r>
      <w:proofErr w:type="gramStart"/>
      <w:r w:rsidR="00BE6CF3" w:rsidRPr="00F204B6">
        <w:rPr>
          <w:rFonts w:ascii="Lato" w:hAnsi="Lato" w:cstheme="minorHAnsi"/>
          <w:sz w:val="20"/>
          <w:szCs w:val="20"/>
        </w:rPr>
        <w:t>COM(</w:t>
      </w:r>
      <w:proofErr w:type="gramEnd"/>
      <w:r w:rsidR="00BE6CF3" w:rsidRPr="00F204B6">
        <w:rPr>
          <w:rFonts w:ascii="Lato" w:hAnsi="Lato" w:cstheme="minorHAnsi"/>
          <w:sz w:val="20"/>
          <w:szCs w:val="20"/>
        </w:rPr>
        <w:t xml:space="preserve">2024) 284 </w:t>
      </w:r>
      <w:proofErr w:type="spellStart"/>
      <w:r w:rsidR="00BE6CF3" w:rsidRPr="00F204B6">
        <w:rPr>
          <w:rFonts w:ascii="Lato" w:hAnsi="Lato" w:cstheme="minorHAnsi"/>
          <w:sz w:val="20"/>
          <w:szCs w:val="20"/>
        </w:rPr>
        <w:t>final</w:t>
      </w:r>
      <w:proofErr w:type="spellEnd"/>
      <w:r w:rsidR="00BE6CF3" w:rsidRPr="00F204B6">
        <w:rPr>
          <w:rFonts w:ascii="Lato" w:hAnsi="Lato" w:cstheme="minorHAnsi"/>
          <w:sz w:val="20"/>
          <w:szCs w:val="20"/>
        </w:rPr>
        <w:t>) przyjętą w dniu 16 lipca 2024 r.</w:t>
      </w:r>
      <w:r w:rsidR="00162FE9">
        <w:rPr>
          <w:rFonts w:ascii="Lato" w:hAnsi="Lato" w:cstheme="minorHAnsi"/>
          <w:sz w:val="20"/>
          <w:szCs w:val="20"/>
        </w:rPr>
        <w:t xml:space="preserve"> </w:t>
      </w:r>
      <w:r w:rsidR="00A528B1" w:rsidRPr="00A528B1">
        <w:rPr>
          <w:rFonts w:ascii="Lato" w:hAnsi="Lato" w:cstheme="minorHAnsi"/>
          <w:sz w:val="20"/>
          <w:szCs w:val="20"/>
        </w:rPr>
        <w:t>oraz decyzją 9590/25 przyjętą w dniu 20 czerwca 2025 r.</w:t>
      </w:r>
      <w:r w:rsidR="00162FE9">
        <w:rPr>
          <w:rFonts w:ascii="Lato" w:hAnsi="Lato" w:cs="Times New Roman"/>
          <w:sz w:val="20"/>
          <w:szCs w:val="20"/>
        </w:rPr>
        <w:t>;</w:t>
      </w:r>
    </w:p>
    <w:p w14:paraId="0F7FDC2A" w14:textId="4B5A3D28" w:rsidR="00594FD6" w:rsidRPr="00F204B6" w:rsidRDefault="00594FD6" w:rsidP="004B0F33">
      <w:pPr>
        <w:pStyle w:val="Akapitzlist"/>
        <w:numPr>
          <w:ilvl w:val="0"/>
          <w:numId w:val="10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Ustaw</w:t>
      </w:r>
      <w:r w:rsidR="00906464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ą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z dnia 19 lipca 2019 r. o zapewnianiu dostępności osobom ze szczególnymi potrzebami (Dz. U. z </w:t>
      </w:r>
      <w:r w:rsidR="00FA0583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202</w:t>
      </w:r>
      <w:r w:rsidR="00FA0583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4</w:t>
      </w:r>
      <w:r w:rsidR="00FA0583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r. poz. </w:t>
      </w:r>
      <w:r w:rsidR="00FA0583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1411</w:t>
      </w:r>
      <w:r w:rsidR="001B2BF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  <w:r w:rsidR="00FA0583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F96E3B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 późn. zm.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);</w:t>
      </w:r>
    </w:p>
    <w:p w14:paraId="1BD6A4CA" w14:textId="3D84AC49" w:rsidR="00777C7F" w:rsidRPr="00F204B6" w:rsidRDefault="00777C7F" w:rsidP="004B0F33">
      <w:pPr>
        <w:pStyle w:val="Akapitzlist"/>
        <w:numPr>
          <w:ilvl w:val="0"/>
          <w:numId w:val="10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Ustaw</w:t>
      </w:r>
      <w:r w:rsidR="006871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ą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z dnia 6 grudnia 2006 r. o zasadach prowadzenia polityki rozwoju (Dz. U. z </w:t>
      </w:r>
      <w:r w:rsidR="00FA0583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202</w:t>
      </w:r>
      <w:r w:rsidR="00FA0583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5</w:t>
      </w:r>
      <w:r w:rsidR="00FA0583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r. poz. </w:t>
      </w:r>
      <w:r w:rsidR="00FA0583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198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), zwaną dalej „ustawą o zasadach prowadzenia polityki rozwoju”;</w:t>
      </w:r>
    </w:p>
    <w:p w14:paraId="147C8D03" w14:textId="0961961B" w:rsidR="00777C7F" w:rsidRPr="00F204B6" w:rsidRDefault="00777C7F" w:rsidP="004B0F33">
      <w:pPr>
        <w:pStyle w:val="Akapitzlist"/>
        <w:numPr>
          <w:ilvl w:val="0"/>
          <w:numId w:val="10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Horyzontaln</w:t>
      </w:r>
      <w:r w:rsidR="006871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ymi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zasad</w:t>
      </w:r>
      <w:r w:rsidR="006871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ami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i kryteria</w:t>
      </w:r>
      <w:r w:rsidR="006871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mi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wyboru Przedsięwzięć dla Krajowego Planu Odbudowy i Zwiększenia Odporności;</w:t>
      </w:r>
    </w:p>
    <w:p w14:paraId="1E99AF98" w14:textId="69D5875E" w:rsidR="00745405" w:rsidRPr="00F204B6" w:rsidRDefault="00777C7F" w:rsidP="004B0F33">
      <w:pPr>
        <w:pStyle w:val="Akapitzlist"/>
        <w:numPr>
          <w:ilvl w:val="0"/>
          <w:numId w:val="10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U</w:t>
      </w:r>
      <w:r w:rsidR="00745405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mową o objęcie wsparciem </w:t>
      </w:r>
      <w:r w:rsidR="002A139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przedsięwzięcia</w:t>
      </w:r>
      <w:r w:rsidR="00745405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3FB4E007" w14:textId="7D1BA793" w:rsidR="00407EE9" w:rsidRPr="00F204B6" w:rsidRDefault="00777C7F" w:rsidP="004B0F33">
      <w:pPr>
        <w:pStyle w:val="Akapitzlist"/>
        <w:numPr>
          <w:ilvl w:val="0"/>
          <w:numId w:val="10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I</w:t>
      </w:r>
      <w:r w:rsidR="00407EE9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nnymi dokumentami, do których stosowania </w:t>
      </w:r>
      <w:r w:rsidR="00E9133F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="00407EE9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zobowiązał się w umowie o </w:t>
      </w:r>
      <w:r w:rsidR="00D037B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objęcie wsparciem</w:t>
      </w:r>
      <w:r w:rsidR="00407EE9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2A139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przedsięwzięcia</w:t>
      </w:r>
      <w:r w:rsidR="00407EE9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. </w:t>
      </w:r>
    </w:p>
    <w:p w14:paraId="294A77CE" w14:textId="7349B403" w:rsidR="00407EE9" w:rsidRPr="00F204B6" w:rsidRDefault="00504902" w:rsidP="004B0F33">
      <w:pPr>
        <w:pStyle w:val="Akapitzlist"/>
        <w:numPr>
          <w:ilvl w:val="0"/>
          <w:numId w:val="4"/>
        </w:numPr>
        <w:spacing w:after="120" w:line="360" w:lineRule="auto"/>
        <w:ind w:left="714" w:hanging="357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r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Weryfikacja</w:t>
      </w:r>
      <w:r w:rsidR="00407EE9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kwalifikowalności poniesionego wydatku dokonywana jest przede wszystkim w trakcie realizacji </w:t>
      </w:r>
      <w:r w:rsidR="002A139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przedsięwzięcia </w:t>
      </w:r>
      <w:r w:rsidR="00407EE9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poprzez weryfikację wniosków o płatność oraz w trakcie kontroli</w:t>
      </w:r>
      <w:r w:rsidR="00FB0D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przedsięwzięcia</w:t>
      </w:r>
      <w:r w:rsidR="00407EE9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. Punktem wyjścia dla weryfikacji kwalifikowalności wydatków na etapie realizacji </w:t>
      </w:r>
      <w:r w:rsidR="00FB0D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przedsięwzięcia </w:t>
      </w:r>
      <w:r w:rsidR="00407EE9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jest zatwierdzony </w:t>
      </w:r>
      <w:r w:rsidR="00407EE9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lastRenderedPageBreak/>
        <w:t xml:space="preserve">wniosek o </w:t>
      </w:r>
      <w:r w:rsidR="00D037B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objęcie </w:t>
      </w:r>
      <w:r w:rsidR="00D7776B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przedsięwzięcia </w:t>
      </w:r>
      <w:r w:rsidR="00D037B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wsparciem</w:t>
      </w:r>
      <w:r w:rsidR="00407EE9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. Na etapie oceny wniosku o </w:t>
      </w:r>
      <w:r w:rsidR="00D037B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objęcie </w:t>
      </w:r>
      <w:r w:rsidR="00D7776B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przedsięwzięcia </w:t>
      </w:r>
      <w:r w:rsidR="00D037B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wsparciem</w:t>
      </w:r>
      <w:r w:rsidR="00407EE9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dokonywana jest ocena kwalifikowalności planowanych </w:t>
      </w:r>
      <w:r w:rsidR="00131952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lub poniesionych </w:t>
      </w:r>
      <w:r w:rsidR="00407EE9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wydatków. Przyjęcie danego </w:t>
      </w:r>
      <w:r w:rsidR="002A139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przedsięwzięcia </w:t>
      </w:r>
      <w:r w:rsidR="00407EE9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do realizacji i podpisanie</w:t>
      </w:r>
      <w:r w:rsidR="00407EE9" w:rsidRPr="00F204B6">
        <w:rPr>
          <w:rFonts w:ascii="Lato" w:hAnsi="Lato" w:cstheme="minorHAnsi"/>
          <w:sz w:val="20"/>
          <w:szCs w:val="20"/>
        </w:rPr>
        <w:t xml:space="preserve"> </w:t>
      </w:r>
      <w:r w:rsidR="00407EE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z </w:t>
      </w:r>
      <w:r w:rsidR="00E9133F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OWW</w:t>
      </w:r>
      <w:r w:rsidR="000565C8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umowy</w:t>
      </w:r>
      <w:r w:rsidR="00407EE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o </w:t>
      </w:r>
      <w:r w:rsidR="00D037BA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objęcie wsparciem</w:t>
      </w:r>
      <w:r w:rsidR="00407EE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nie oznacza, że wszystkie wydatki, które </w:t>
      </w:r>
      <w:r w:rsidR="00E9133F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="006F0D16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407EE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przedstawi we wniosku o płatność w trakcie realizacji </w:t>
      </w:r>
      <w:r w:rsidR="002A1392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przedsięwzięcia</w:t>
      </w:r>
      <w:r w:rsidR="00407EE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, zostaną </w:t>
      </w:r>
      <w:r w:rsidR="00E32FBC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uznane za kwalifikowalne</w:t>
      </w:r>
      <w:r w:rsidR="00777C7F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. </w:t>
      </w:r>
      <w:r w:rsidR="00407EE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Ocena kwalifikowalności poniesionych wydatków jest prowadzona także po zakończeniu realizacji </w:t>
      </w:r>
      <w:r w:rsidR="00FB0D3A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przedsięwzięcia</w:t>
      </w:r>
      <w:r w:rsidR="002A1392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407EE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w zakresie obowiązków nałożonych na </w:t>
      </w:r>
      <w:r w:rsidR="00E9133F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="0098296F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407EE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umową o </w:t>
      </w:r>
      <w:r w:rsidR="00D037BA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objęcie wsparciem</w:t>
      </w:r>
      <w:r w:rsidR="00407EE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FB0D3A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przedsięwzięcia</w:t>
      </w:r>
      <w:r w:rsidR="00D43A1F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407EE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oraz wynikających z przepisów prawa.</w:t>
      </w:r>
    </w:p>
    <w:p w14:paraId="30492155" w14:textId="54C8A78F" w:rsidR="00333E81" w:rsidRPr="00F204B6" w:rsidRDefault="00333E81" w:rsidP="004B0F33">
      <w:pPr>
        <w:pStyle w:val="Akapitzlist"/>
        <w:numPr>
          <w:ilvl w:val="0"/>
          <w:numId w:val="4"/>
        </w:numPr>
        <w:spacing w:after="120" w:line="360" w:lineRule="auto"/>
        <w:ind w:left="714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Wydatkiem kwalifikowalnym</w:t>
      </w:r>
      <w:r w:rsidR="00F56F3C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w ramach przedsięwzięcia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F56F3C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może być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wydatek spełniający łącznie następujące warunki:</w:t>
      </w:r>
    </w:p>
    <w:p w14:paraId="44B3B4B3" w14:textId="6779E8E3" w:rsidR="00333E81" w:rsidRPr="00F204B6" w:rsidRDefault="00333E81" w:rsidP="00AE6B06">
      <w:pPr>
        <w:pStyle w:val="Akapitzlist"/>
        <w:numPr>
          <w:ilvl w:val="1"/>
          <w:numId w:val="1"/>
        </w:numPr>
        <w:spacing w:after="120" w:line="360" w:lineRule="auto"/>
        <w:ind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został faktycznie poniesiony w okresie wskazanym w umowie o </w:t>
      </w:r>
      <w:r w:rsidR="00D037B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objęcie </w:t>
      </w:r>
      <w:r w:rsidR="00D7776B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przedsięwzięcia </w:t>
      </w:r>
      <w:r w:rsidR="00D037B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wsparciem</w:t>
      </w:r>
      <w:r w:rsidR="0077328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7FE800ED" w14:textId="290D18A4" w:rsidR="00333E81" w:rsidRPr="00F204B6" w:rsidRDefault="00333E81" w:rsidP="00AE6B06">
      <w:pPr>
        <w:pStyle w:val="Akapitzlist"/>
        <w:numPr>
          <w:ilvl w:val="1"/>
          <w:numId w:val="1"/>
        </w:numPr>
        <w:spacing w:after="120" w:line="360" w:lineRule="auto"/>
        <w:ind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jest zgodny z obowiązującymi przepisami prawa unijnego oraz prawa krajowego, w tym przepisami regulującymi udzielanie pomocy publicznej</w:t>
      </w:r>
      <w:r w:rsidR="0044559C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i prawa zamówień publicznych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 jeśli mają zastosowanie,</w:t>
      </w:r>
    </w:p>
    <w:p w14:paraId="02789144" w14:textId="79DBE128" w:rsidR="00333E81" w:rsidRPr="00F204B6" w:rsidRDefault="00807A44" w:rsidP="00AE6B06">
      <w:pPr>
        <w:pStyle w:val="Akapitzlist"/>
        <w:numPr>
          <w:ilvl w:val="1"/>
          <w:numId w:val="1"/>
        </w:numPr>
        <w:spacing w:after="120" w:line="360" w:lineRule="auto"/>
        <w:ind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jest </w:t>
      </w:r>
      <w:r w:rsidR="00333E81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zgodny z </w:t>
      </w:r>
      <w:r w:rsidR="00D471A0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Planem rozwojowym,</w:t>
      </w:r>
    </w:p>
    <w:p w14:paraId="4275E500" w14:textId="1B576290" w:rsidR="00807A44" w:rsidRPr="00F204B6" w:rsidRDefault="00807A44" w:rsidP="00AE6B06">
      <w:pPr>
        <w:pStyle w:val="Akapitzlist"/>
        <w:numPr>
          <w:ilvl w:val="1"/>
          <w:numId w:val="1"/>
        </w:numPr>
        <w:spacing w:after="120" w:line="360" w:lineRule="auto"/>
        <w:ind w:hanging="357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dotyczy działań zgodnych z zasadą </w:t>
      </w:r>
      <w:r w:rsidR="00F84E2E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DNSH,</w:t>
      </w:r>
    </w:p>
    <w:p w14:paraId="6A96D16D" w14:textId="38E17F1B" w:rsidR="003F0007" w:rsidRPr="00F204B6" w:rsidRDefault="003F0007" w:rsidP="00AE6B06">
      <w:pPr>
        <w:pStyle w:val="Akapitzlist"/>
        <w:numPr>
          <w:ilvl w:val="1"/>
          <w:numId w:val="1"/>
        </w:numPr>
        <w:spacing w:after="120" w:line="360" w:lineRule="auto"/>
        <w:ind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jest zgodny z zasadami horyzontalnymi określonymi w art. 5 rozporządzenia RRF,</w:t>
      </w:r>
    </w:p>
    <w:p w14:paraId="66699945" w14:textId="43DA5636" w:rsidR="00333E81" w:rsidRPr="00F204B6" w:rsidRDefault="00333E81" w:rsidP="00AE6B06">
      <w:pPr>
        <w:pStyle w:val="Akapitzlist"/>
        <w:numPr>
          <w:ilvl w:val="1"/>
          <w:numId w:val="1"/>
        </w:numPr>
        <w:spacing w:after="120" w:line="360" w:lineRule="auto"/>
        <w:ind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został uwzględniony w budżecie </w:t>
      </w:r>
      <w:r w:rsidR="00FB0D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przedsięwzięcia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i zakresie rzeczowym </w:t>
      </w:r>
      <w:r w:rsidR="002A139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przedsięwzięcia</w:t>
      </w:r>
      <w:r w:rsidR="00906464" w:rsidRPr="00F204B6">
        <w:rPr>
          <w:rFonts w:ascii="Lato" w:hAnsi="Lato" w:cstheme="minorHAnsi"/>
          <w:sz w:val="20"/>
          <w:szCs w:val="20"/>
        </w:rPr>
        <w:t xml:space="preserve"> zawartym we wniosku o objęcie przedsięwzięcia wsparciem</w:t>
      </w:r>
      <w:r w:rsidR="00906464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4CF92F9D" w14:textId="6E3D8BFA" w:rsidR="00333E81" w:rsidRPr="00F204B6" w:rsidRDefault="00333E81" w:rsidP="00AE6B06">
      <w:pPr>
        <w:pStyle w:val="Akapitzlist"/>
        <w:numPr>
          <w:ilvl w:val="1"/>
          <w:numId w:val="1"/>
        </w:numPr>
        <w:spacing w:after="120" w:line="360" w:lineRule="auto"/>
        <w:ind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został poniesiony zgodnie z postanowieniami </w:t>
      </w:r>
      <w:r w:rsidR="005F3661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U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mowy o </w:t>
      </w:r>
      <w:r w:rsidR="00D037B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objęcie wsparciem</w:t>
      </w:r>
      <w:r w:rsidR="00FB0D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przedsięwzięcia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54E75697" w14:textId="505D9426" w:rsidR="00333E81" w:rsidRPr="00F204B6" w:rsidRDefault="00333E81" w:rsidP="00AE6B06">
      <w:pPr>
        <w:pStyle w:val="Akapitzlist"/>
        <w:numPr>
          <w:ilvl w:val="1"/>
          <w:numId w:val="1"/>
        </w:numPr>
        <w:spacing w:after="120" w:line="360" w:lineRule="auto"/>
        <w:ind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jest niezbędny do realizacji celów </w:t>
      </w:r>
      <w:r w:rsidR="002A139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przedsięwzięcia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i został poniesiony w związku z</w:t>
      </w:r>
      <w:r w:rsidR="002A139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jego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realizacją,</w:t>
      </w:r>
    </w:p>
    <w:p w14:paraId="5BA01B4E" w14:textId="4D302317" w:rsidR="00333E81" w:rsidRPr="00F204B6" w:rsidRDefault="00333E81" w:rsidP="00AE6B06">
      <w:pPr>
        <w:pStyle w:val="Akapitzlist"/>
        <w:numPr>
          <w:ilvl w:val="1"/>
          <w:numId w:val="1"/>
        </w:numPr>
        <w:spacing w:after="120" w:line="360" w:lineRule="auto"/>
        <w:ind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został dokonany w sposób przejrzysty, racjonalny i efektywny, z zachowaniem zasad uzyskiwania najlepszych efektów z danych nakładów,</w:t>
      </w:r>
    </w:p>
    <w:p w14:paraId="5166A5E6" w14:textId="0427573C" w:rsidR="000A3ACA" w:rsidRPr="00F204B6" w:rsidRDefault="000A3ACA" w:rsidP="00AE6B06">
      <w:pPr>
        <w:pStyle w:val="Akapitzlist"/>
        <w:numPr>
          <w:ilvl w:val="1"/>
          <w:numId w:val="1"/>
        </w:numPr>
        <w:spacing w:after="120" w:line="360" w:lineRule="auto"/>
        <w:ind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został</w:t>
      </w:r>
      <w:r w:rsidRPr="00F204B6">
        <w:rPr>
          <w:rStyle w:val="normaltextrun"/>
          <w:rFonts w:ascii="Lato" w:eastAsiaTheme="majorEastAsia" w:hAnsi="Lato" w:cstheme="minorHAnsi"/>
          <w:iCs/>
          <w:color w:val="000000" w:themeColor="text1"/>
          <w:kern w:val="32"/>
          <w:sz w:val="20"/>
          <w:szCs w:val="20"/>
        </w:rPr>
        <w:t xml:space="preserve"> w</w:t>
      </w:r>
      <w:r w:rsidR="00184EFE" w:rsidRPr="00F204B6">
        <w:rPr>
          <w:rStyle w:val="normaltextrun"/>
          <w:rFonts w:ascii="Lato" w:eastAsiaTheme="majorEastAsia" w:hAnsi="Lato" w:cstheme="minorHAnsi"/>
          <w:iCs/>
          <w:color w:val="000000" w:themeColor="text1"/>
          <w:kern w:val="32"/>
          <w:sz w:val="20"/>
          <w:szCs w:val="20"/>
        </w:rPr>
        <w:t>y</w:t>
      </w:r>
      <w:r w:rsidRPr="00F204B6">
        <w:rPr>
          <w:rStyle w:val="normaltextrun"/>
          <w:rFonts w:ascii="Lato" w:eastAsiaTheme="majorEastAsia" w:hAnsi="Lato" w:cstheme="minorHAnsi"/>
          <w:iCs/>
          <w:color w:val="000000" w:themeColor="text1"/>
          <w:kern w:val="32"/>
          <w:sz w:val="20"/>
          <w:szCs w:val="20"/>
        </w:rPr>
        <w:t xml:space="preserve">kazany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we wniosku o płatność złożonym przez </w:t>
      </w:r>
      <w:r w:rsidR="00B7445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4927222F" w14:textId="0C4D881A" w:rsidR="000A3ACA" w:rsidRPr="00F204B6" w:rsidRDefault="000A3ACA" w:rsidP="00AE6B06">
      <w:pPr>
        <w:pStyle w:val="Akapitzlist"/>
        <w:numPr>
          <w:ilvl w:val="1"/>
          <w:numId w:val="1"/>
        </w:numPr>
        <w:spacing w:after="120" w:line="360" w:lineRule="auto"/>
        <w:ind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hAnsi="Lato" w:cstheme="minorHAnsi"/>
          <w:sz w:val="20"/>
          <w:szCs w:val="20"/>
        </w:rPr>
        <w:t>dotyczy towarów dostarczonych lub usług wykonanych lub robót zrealizowanych, w tym zaliczek dla wykonawców,</w:t>
      </w:r>
    </w:p>
    <w:p w14:paraId="26965524" w14:textId="4AE82BA0" w:rsidR="00333E81" w:rsidRPr="00F204B6" w:rsidRDefault="00333E81" w:rsidP="00AE6B06">
      <w:pPr>
        <w:pStyle w:val="Akapitzlist"/>
        <w:numPr>
          <w:ilvl w:val="1"/>
          <w:numId w:val="1"/>
        </w:numPr>
        <w:spacing w:after="120" w:line="360" w:lineRule="auto"/>
        <w:ind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bookmarkStart w:id="3" w:name="_Hlk143683176"/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został należycie udokumentowany, zgodnie ze szczegółowymi zasadami określonymi przez IOI</w:t>
      </w:r>
      <w:bookmarkEnd w:id="3"/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  <w:r w:rsidR="005B0EF8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z zastrzeżeniem pkt. 1.4</w:t>
      </w:r>
      <w:r w:rsidR="00BE022F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41DC07D0" w14:textId="21D7CBD3" w:rsidR="00BE6CF3" w:rsidRPr="00F204B6" w:rsidRDefault="00333E81" w:rsidP="00BE6CF3">
      <w:pPr>
        <w:pStyle w:val="Akapitzlist"/>
        <w:numPr>
          <w:ilvl w:val="1"/>
          <w:numId w:val="1"/>
        </w:numPr>
        <w:spacing w:after="120" w:line="360" w:lineRule="auto"/>
        <w:ind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jest zgodny z innymi warunkami uznania go za wydatek kwalifikowalny określonymi w regulaminie </w:t>
      </w:r>
      <w:r w:rsidR="00B74E6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wy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boru</w:t>
      </w:r>
      <w:r w:rsidR="00BE022F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126852F1" w14:textId="1460B1FC" w:rsidR="00695399" w:rsidRPr="00F204B6" w:rsidRDefault="00BE022F" w:rsidP="00695399">
      <w:pPr>
        <w:pStyle w:val="Akapitzlist"/>
        <w:numPr>
          <w:ilvl w:val="1"/>
          <w:numId w:val="1"/>
        </w:numPr>
        <w:spacing w:after="120" w:line="360" w:lineRule="auto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nie został sfinansowany lub nie będzie finansowany ramach planu rozwojowego lub innych unijnych programów, instrumentów, funduszy w ramach budżetu Unii Europejskiej na realizację Przedsięwzięcia (brak Podwójnego Finansowania Przedsięwzięcia) oraz nie otrzymał już i nie skorzysta z </w:t>
      </w:r>
      <w:bookmarkStart w:id="4" w:name="_Hlk178591758"/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finansowania środków budżetu państwa</w:t>
      </w:r>
      <w:r w:rsidR="0084590D">
        <w:rPr>
          <w:rFonts w:ascii="Lato" w:eastAsiaTheme="majorEastAsia" w:hAnsi="Lato" w:cstheme="minorHAnsi"/>
          <w:iCs/>
          <w:kern w:val="32"/>
          <w:sz w:val="20"/>
          <w:szCs w:val="20"/>
        </w:rPr>
        <w:t>,</w:t>
      </w:r>
      <w:r w:rsidR="0069539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Narodowego Funduszu Zdrowia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84590D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lub Funduszu Medycznego </w:t>
      </w:r>
      <w:bookmarkEnd w:id="4"/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na realizację tego samego zakresu rzeczowego przedsięwzięcia w całości lub części - nie dotycz</w:t>
      </w:r>
      <w:r w:rsidR="002E774B">
        <w:rPr>
          <w:rFonts w:ascii="Lato" w:eastAsiaTheme="majorEastAsia" w:hAnsi="Lato" w:cstheme="minorHAnsi"/>
          <w:iCs/>
          <w:kern w:val="32"/>
          <w:sz w:val="20"/>
          <w:szCs w:val="20"/>
        </w:rPr>
        <w:t>y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środków własnych OOW</w:t>
      </w:r>
      <w:r w:rsidR="00773286">
        <w:rPr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67427F68" w14:textId="44B35244" w:rsidR="00695399" w:rsidRPr="009A3ECE" w:rsidRDefault="00695399" w:rsidP="00695399">
      <w:pPr>
        <w:spacing w:after="120" w:line="360" w:lineRule="auto"/>
        <w:ind w:left="708"/>
        <w:contextualSpacing/>
        <w:rPr>
          <w:rFonts w:ascii="Lato" w:eastAsiaTheme="minorEastAsia" w:hAnsi="Lato" w:cs="Arial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lastRenderedPageBreak/>
        <w:t xml:space="preserve">o) jest </w:t>
      </w:r>
      <w:r w:rsidRPr="00F204B6">
        <w:rPr>
          <w:rFonts w:ascii="Lato" w:eastAsiaTheme="minorEastAsia" w:hAnsi="Lato" w:cs="Arial"/>
          <w:sz w:val="20"/>
          <w:szCs w:val="20"/>
          <w:lang w:eastAsia="pl-PL"/>
        </w:rPr>
        <w:t xml:space="preserve">związany z działaniami polegającymi na rozwoju i modernizacji </w:t>
      </w:r>
      <w:r w:rsidRPr="009A3ECE">
        <w:rPr>
          <w:rFonts w:ascii="Lato" w:eastAsiaTheme="minorEastAsia" w:hAnsi="Lato" w:cs="Arial"/>
          <w:sz w:val="20"/>
          <w:szCs w:val="20"/>
          <w:lang w:eastAsia="pl-PL"/>
        </w:rPr>
        <w:t xml:space="preserve">infrastruktury szpitali </w:t>
      </w:r>
      <w:r w:rsidR="00C74196" w:rsidRPr="009A3ECE">
        <w:rPr>
          <w:rFonts w:ascii="Lato" w:eastAsiaTheme="minorEastAsia" w:hAnsi="Lato" w:cs="Arial"/>
          <w:sz w:val="20"/>
          <w:szCs w:val="20"/>
          <w:lang w:eastAsia="pl-PL"/>
        </w:rPr>
        <w:t xml:space="preserve">zakwalifikowanych na </w:t>
      </w:r>
      <w:r w:rsidR="005D52D9" w:rsidRPr="009A3ECE">
        <w:rPr>
          <w:rFonts w:ascii="Lato" w:eastAsiaTheme="minorEastAsia" w:hAnsi="Lato" w:cs="Arial"/>
          <w:sz w:val="20"/>
          <w:szCs w:val="20"/>
          <w:lang w:eastAsia="pl-PL"/>
        </w:rPr>
        <w:t>drugi lub trzeci</w:t>
      </w:r>
      <w:r w:rsidR="00C74196" w:rsidRPr="009A3ECE">
        <w:rPr>
          <w:rFonts w:ascii="Lato" w:eastAsiaTheme="minorEastAsia" w:hAnsi="Lato" w:cs="Arial"/>
          <w:sz w:val="20"/>
          <w:szCs w:val="20"/>
          <w:lang w:eastAsia="pl-PL"/>
        </w:rPr>
        <w:t xml:space="preserve"> poziom zabezpieczenia opieki kardiologicznej</w:t>
      </w:r>
      <w:r w:rsidR="00C74196" w:rsidRPr="009A3ECE" w:rsidDel="00C74196">
        <w:rPr>
          <w:rFonts w:ascii="Lato" w:eastAsiaTheme="minorEastAsia" w:hAnsi="Lato" w:cs="Arial"/>
          <w:sz w:val="20"/>
          <w:szCs w:val="20"/>
          <w:lang w:eastAsia="pl-PL"/>
        </w:rPr>
        <w:t xml:space="preserve"> </w:t>
      </w:r>
      <w:r w:rsidRPr="009A3ECE">
        <w:rPr>
          <w:rFonts w:ascii="Lato" w:eastAsiaTheme="minorEastAsia" w:hAnsi="Lato" w:cs="Arial"/>
          <w:sz w:val="20"/>
          <w:szCs w:val="20"/>
          <w:lang w:eastAsia="pl-PL"/>
        </w:rPr>
        <w:t xml:space="preserve">Krajowej Sieci </w:t>
      </w:r>
      <w:r w:rsidR="00FA0583" w:rsidRPr="009A3ECE">
        <w:rPr>
          <w:rFonts w:ascii="Lato" w:eastAsiaTheme="minorEastAsia" w:hAnsi="Lato" w:cs="Arial"/>
          <w:sz w:val="20"/>
          <w:szCs w:val="20"/>
          <w:lang w:eastAsia="pl-PL"/>
        </w:rPr>
        <w:t>Kardiologicznej</w:t>
      </w:r>
      <w:r w:rsidRPr="009A3ECE">
        <w:rPr>
          <w:rFonts w:ascii="Lato" w:eastAsiaTheme="minorEastAsia" w:hAnsi="Lato" w:cs="Arial"/>
          <w:sz w:val="20"/>
          <w:szCs w:val="20"/>
          <w:lang w:eastAsia="pl-PL"/>
        </w:rPr>
        <w:t>, które wpisują się w następujące obszary:</w:t>
      </w:r>
    </w:p>
    <w:p w14:paraId="5D129A1C" w14:textId="7EAE16C3" w:rsidR="00C74196" w:rsidRPr="009A3ECE" w:rsidRDefault="00C74196" w:rsidP="00C74196">
      <w:pPr>
        <w:pStyle w:val="Akapitzlist"/>
        <w:numPr>
          <w:ilvl w:val="0"/>
          <w:numId w:val="34"/>
        </w:numPr>
        <w:spacing w:after="120" w:line="360" w:lineRule="auto"/>
        <w:ind w:left="1418"/>
        <w:rPr>
          <w:rFonts w:ascii="Lato" w:eastAsiaTheme="minorEastAsia" w:hAnsi="Lato" w:cs="Arial"/>
          <w:sz w:val="20"/>
          <w:szCs w:val="20"/>
        </w:rPr>
      </w:pPr>
      <w:r w:rsidRPr="009A3ECE">
        <w:rPr>
          <w:rFonts w:ascii="Lato" w:eastAsiaTheme="minorEastAsia" w:hAnsi="Lato" w:cs="Arial"/>
          <w:sz w:val="20"/>
          <w:szCs w:val="20"/>
        </w:rPr>
        <w:t xml:space="preserve">zakup lub modernizacja urządzeń </w:t>
      </w:r>
      <w:r w:rsidR="005D52D9" w:rsidRPr="009A3ECE">
        <w:rPr>
          <w:rFonts w:ascii="Lato" w:eastAsiaTheme="minorEastAsia" w:hAnsi="Lato" w:cs="Arial"/>
          <w:sz w:val="20"/>
          <w:szCs w:val="20"/>
        </w:rPr>
        <w:t>lub</w:t>
      </w:r>
      <w:r w:rsidRPr="009A3ECE">
        <w:rPr>
          <w:rFonts w:ascii="Lato" w:eastAsiaTheme="minorEastAsia" w:hAnsi="Lato" w:cs="Arial"/>
          <w:sz w:val="20"/>
          <w:szCs w:val="20"/>
        </w:rPr>
        <w:t xml:space="preserve"> wyrobów medycznych niezbędnych do sprawowania opieki kardiologicznej w rozumieniu ustawy z dn. 4 czerwca 2025 r. o Krajowej Sieci Kardiologicznej </w:t>
      </w:r>
      <w:r w:rsidR="001B2BF6" w:rsidRPr="009A3ECE">
        <w:rPr>
          <w:rFonts w:ascii="Lato" w:eastAsiaTheme="minorEastAsia" w:hAnsi="Lato" w:cs="Arial"/>
          <w:sz w:val="20"/>
          <w:szCs w:val="20"/>
        </w:rPr>
        <w:t>(</w:t>
      </w:r>
      <w:r w:rsidR="001B2BF6" w:rsidRPr="009A3ECE">
        <w:rPr>
          <w:rFonts w:ascii="Lato" w:hAnsi="Lato" w:cs="Arial"/>
          <w:sz w:val="20"/>
          <w:szCs w:val="20"/>
        </w:rPr>
        <w:t xml:space="preserve">Dz. U. z 2025 r. poz. 779) </w:t>
      </w:r>
      <w:r w:rsidRPr="009A3ECE">
        <w:rPr>
          <w:rFonts w:ascii="Lato" w:eastAsiaTheme="minorEastAsia" w:hAnsi="Lato" w:cs="Arial"/>
          <w:sz w:val="20"/>
          <w:szCs w:val="20"/>
        </w:rPr>
        <w:t>w komórkach organizacyjnych znajdujących się w strukturze zakładu leczniczego:</w:t>
      </w:r>
    </w:p>
    <w:p w14:paraId="2DAF1E88" w14:textId="3CBF6BB1" w:rsidR="00C74196" w:rsidRPr="009A3ECE" w:rsidRDefault="00AF48EE" w:rsidP="00C74196">
      <w:pPr>
        <w:pStyle w:val="Akapitzlist"/>
        <w:spacing w:after="120" w:line="360" w:lineRule="auto"/>
        <w:ind w:left="1418"/>
        <w:rPr>
          <w:rFonts w:ascii="Lato" w:eastAsiaTheme="minorEastAsia" w:hAnsi="Lato" w:cs="Arial"/>
          <w:sz w:val="20"/>
          <w:szCs w:val="20"/>
        </w:rPr>
      </w:pPr>
      <w:r w:rsidRPr="00AF48EE">
        <w:rPr>
          <w:rFonts w:ascii="Lato" w:eastAsiaTheme="minorEastAsia" w:hAnsi="Lato" w:cs="Arial"/>
          <w:sz w:val="20"/>
          <w:szCs w:val="20"/>
        </w:rPr>
        <w:t>oraz – jeśli zasadne</w:t>
      </w:r>
    </w:p>
    <w:p w14:paraId="323312A3" w14:textId="570A89E1" w:rsidR="00C74196" w:rsidRPr="009A3ECE" w:rsidRDefault="00C74196" w:rsidP="00C74196">
      <w:pPr>
        <w:pStyle w:val="Akapitzlist"/>
        <w:numPr>
          <w:ilvl w:val="0"/>
          <w:numId w:val="34"/>
        </w:numPr>
        <w:spacing w:after="120" w:line="360" w:lineRule="auto"/>
        <w:ind w:left="1418"/>
        <w:rPr>
          <w:rFonts w:ascii="Lato" w:eastAsiaTheme="minorEastAsia" w:hAnsi="Lato" w:cs="Arial"/>
          <w:sz w:val="20"/>
          <w:szCs w:val="20"/>
        </w:rPr>
      </w:pPr>
      <w:r w:rsidRPr="009A3ECE">
        <w:rPr>
          <w:rFonts w:ascii="Lato" w:eastAsiaTheme="minorEastAsia" w:hAnsi="Lato" w:cs="Arial"/>
          <w:sz w:val="20"/>
          <w:szCs w:val="20"/>
        </w:rPr>
        <w:t>inwestycje w infrastrukturę szpitali polegające na jej dostosowaniu do warunków określonych w Rozporządzeniu Ministra Zdrowia z dnia 26 marca 2019 r. w sprawie szczegółowych wymagań, jakim powinny odpowiadać pomieszczenia i urządzenia podmiotu wykonującego działalność leczniczą (Dz.U z 2022 r. poz.</w:t>
      </w:r>
      <w:r w:rsidR="001B2BF6" w:rsidRPr="009A3ECE">
        <w:rPr>
          <w:rFonts w:ascii="Lato" w:eastAsiaTheme="minorEastAsia" w:hAnsi="Lato" w:cs="Arial"/>
          <w:sz w:val="20"/>
          <w:szCs w:val="20"/>
        </w:rPr>
        <w:t xml:space="preserve"> </w:t>
      </w:r>
      <w:r w:rsidRPr="009A3ECE">
        <w:rPr>
          <w:rFonts w:ascii="Lato" w:eastAsiaTheme="minorEastAsia" w:hAnsi="Lato" w:cs="Arial"/>
          <w:sz w:val="20"/>
          <w:szCs w:val="20"/>
        </w:rPr>
        <w:t>402) niezbędnych do sprawowania opieki kardiologicznej w rozumieniu ustawy z dn. 4 czerwca 2025 r. o Krajowej Sieci Kardiologicznej  w komórkach organizacyjnych znajdujących się w strukturze zakładu leczniczego;</w:t>
      </w:r>
    </w:p>
    <w:p w14:paraId="706C3A4B" w14:textId="15048A7B" w:rsidR="00695399" w:rsidRPr="00F204B6" w:rsidRDefault="00695399" w:rsidP="00695399">
      <w:pPr>
        <w:spacing w:after="0" w:line="360" w:lineRule="auto"/>
        <w:ind w:left="708"/>
        <w:contextualSpacing/>
        <w:rPr>
          <w:rStyle w:val="normaltextrun"/>
          <w:rFonts w:ascii="Lato" w:hAnsi="Lato" w:cs="Arial"/>
          <w:sz w:val="20"/>
          <w:szCs w:val="20"/>
        </w:rPr>
      </w:pPr>
      <w:bookmarkStart w:id="5" w:name="_Hlk175818793"/>
      <w:r w:rsidRPr="009A3ECE">
        <w:rPr>
          <w:rFonts w:ascii="Lato" w:eastAsiaTheme="minorEastAsia" w:hAnsi="Lato" w:cs="Arial"/>
          <w:sz w:val="20"/>
          <w:szCs w:val="20"/>
          <w:lang w:eastAsia="pl-PL"/>
        </w:rPr>
        <w:t>p) jest związany ze wsparciem zmian jakościowych w funkcjonowaniu szpitali poprzez realizację niezbędnych działań infrastrukturalnych (poprzez poprawę standardów dostępności w tym także dostosowania do potrzeb osób z niepełnosprawnościami</w:t>
      </w:r>
      <w:r w:rsidRPr="009A3ECE">
        <w:rPr>
          <w:rFonts w:ascii="Lato" w:hAnsi="Lato" w:cs="Arial"/>
          <w:sz w:val="20"/>
          <w:szCs w:val="20"/>
        </w:rPr>
        <w:t>, tworzenie stref pacjenta</w:t>
      </w:r>
      <w:r w:rsidRPr="009A3ECE">
        <w:rPr>
          <w:rFonts w:ascii="Lato" w:eastAsiaTheme="minorEastAsia" w:hAnsi="Lato" w:cs="Arial"/>
          <w:sz w:val="20"/>
          <w:szCs w:val="20"/>
          <w:lang w:eastAsia="pl-PL"/>
        </w:rPr>
        <w:t>).</w:t>
      </w:r>
      <w:bookmarkEnd w:id="5"/>
    </w:p>
    <w:p w14:paraId="7798FA92" w14:textId="438B4B28" w:rsidR="001F3207" w:rsidRPr="00F204B6" w:rsidRDefault="003A2E7A" w:rsidP="004B0F33">
      <w:pPr>
        <w:pStyle w:val="Akapitzlist"/>
        <w:numPr>
          <w:ilvl w:val="0"/>
          <w:numId w:val="4"/>
        </w:numPr>
        <w:spacing w:after="120" w:line="360" w:lineRule="auto"/>
        <w:ind w:left="714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 ramach przedsięwzięcia, poza rozliczeniem wydatków za pomocą dokumentów księgowych i innych dokumentów finansowych - możliwe jest rozliczenie za pomocą uproszczonych metod rozliczania wydatków.</w:t>
      </w:r>
      <w:r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D87951" w:rsidRPr="00F204B6">
        <w:rPr>
          <w:rStyle w:val="normaltextrun"/>
          <w:rFonts w:ascii="Lato" w:hAnsi="Lato" w:cstheme="minorHAnsi"/>
          <w:sz w:val="20"/>
          <w:szCs w:val="20"/>
        </w:rPr>
        <w:t xml:space="preserve">Koszty rozliczane uproszczoną metodą rozliczania wydatków są traktowane jak wydatki faktycznie poniesione. Nie ma obowiązku gromadzenia faktur i innych dokumentów księgowych o równoważnej wartości dowodowej na potwierdzenie poniesienia wydatku </w:t>
      </w:r>
      <w:r w:rsidR="00025990" w:rsidRPr="00025990">
        <w:rPr>
          <w:rStyle w:val="normaltextrun"/>
          <w:rFonts w:ascii="Lato" w:hAnsi="Lato" w:cstheme="minorHAnsi"/>
          <w:sz w:val="20"/>
          <w:szCs w:val="20"/>
        </w:rPr>
        <w:t>rozliczan</w:t>
      </w:r>
      <w:r w:rsidR="00025990">
        <w:rPr>
          <w:rStyle w:val="normaltextrun"/>
          <w:rFonts w:ascii="Lato" w:hAnsi="Lato" w:cstheme="minorHAnsi"/>
          <w:sz w:val="20"/>
          <w:szCs w:val="20"/>
        </w:rPr>
        <w:t>ego</w:t>
      </w:r>
      <w:r w:rsidR="00025990" w:rsidRPr="00025990">
        <w:rPr>
          <w:rStyle w:val="normaltextrun"/>
          <w:rFonts w:ascii="Lato" w:hAnsi="Lato" w:cstheme="minorHAnsi"/>
          <w:sz w:val="20"/>
          <w:szCs w:val="20"/>
        </w:rPr>
        <w:t xml:space="preserve"> uproszczoną metodą </w:t>
      </w:r>
      <w:r w:rsidR="00D87951" w:rsidRPr="00F204B6">
        <w:rPr>
          <w:rStyle w:val="normaltextrun"/>
          <w:rFonts w:ascii="Lato" w:hAnsi="Lato" w:cstheme="minorHAnsi"/>
          <w:sz w:val="20"/>
          <w:szCs w:val="20"/>
        </w:rPr>
        <w:t xml:space="preserve">w ramach przedsięwzięcia. </w:t>
      </w:r>
      <w:r w:rsidR="00D87951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Zakazane jest podwójne finansowanie wydatków, w szczególności kosztów zaangażowania personelu. W ramach przedmiotowego naboru, rozliczanie kosztów metodą uproszczoną, ma zastosowanie tylko do kosztów pośrednich, o których mowa w części B.</w:t>
      </w:r>
      <w:r w:rsidR="00B7270C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D87951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KOSZTY POŚREDNIE, za pomocą stawki ryczałtowej,</w:t>
      </w:r>
      <w:r w:rsidR="00D65665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D65665" w:rsidRPr="00AE6B06">
        <w:rPr>
          <w:rStyle w:val="normaltextrun"/>
          <w:rFonts w:ascii="Lato" w:eastAsiaTheme="majorEastAsia" w:hAnsi="Lato" w:cstheme="majorBidi"/>
          <w:iCs/>
          <w:kern w:val="32"/>
          <w:sz w:val="20"/>
          <w:szCs w:val="20"/>
        </w:rPr>
        <w:t>stanowią określoną</w:t>
      </w:r>
      <w:r w:rsidR="00D65665">
        <w:rPr>
          <w:rStyle w:val="normaltextrun"/>
          <w:rFonts w:ascii="Lato" w:eastAsiaTheme="majorEastAsia" w:hAnsi="Lato" w:cstheme="majorBidi"/>
          <w:iCs/>
          <w:kern w:val="32"/>
          <w:sz w:val="20"/>
          <w:szCs w:val="20"/>
        </w:rPr>
        <w:t xml:space="preserve"> we wniosku o objęcie przedsięwzięcia wsparciem</w:t>
      </w:r>
      <w:r w:rsidR="00D65665" w:rsidRPr="00AE6B06">
        <w:rPr>
          <w:rStyle w:val="normaltextrun"/>
          <w:rFonts w:ascii="Lato" w:eastAsiaTheme="majorEastAsia" w:hAnsi="Lato" w:cstheme="majorBidi"/>
          <w:iCs/>
          <w:kern w:val="32"/>
          <w:sz w:val="20"/>
          <w:szCs w:val="20"/>
        </w:rPr>
        <w:t xml:space="preserve"> wartość procentową, obliczaną na podstawie rzeczywiście poniesionych wydatków kwalifikowalnych bezpośrednich</w:t>
      </w:r>
      <w:r w:rsidR="00D65665">
        <w:rPr>
          <w:rStyle w:val="normaltextrun"/>
          <w:rFonts w:ascii="Lato" w:eastAsiaTheme="majorEastAsia" w:hAnsi="Lato" w:cstheme="majorBidi"/>
          <w:iCs/>
          <w:kern w:val="32"/>
          <w:sz w:val="20"/>
          <w:szCs w:val="20"/>
        </w:rPr>
        <w:t xml:space="preserve">, </w:t>
      </w:r>
      <w:r w:rsidR="00EC0A20">
        <w:rPr>
          <w:rStyle w:val="normaltextrun"/>
          <w:rFonts w:ascii="Lato" w:eastAsiaTheme="majorEastAsia" w:hAnsi="Lato" w:cstheme="majorBidi"/>
          <w:iCs/>
          <w:kern w:val="32"/>
          <w:sz w:val="20"/>
          <w:szCs w:val="20"/>
        </w:rPr>
        <w:t>w wysokości nieprzekraczającej 5% wartości kosztów bezpośrednich</w:t>
      </w:r>
      <w:r w:rsidR="009A3ECE">
        <w:rPr>
          <w:rStyle w:val="normaltextrun"/>
          <w:rFonts w:ascii="Lato" w:eastAsiaTheme="majorEastAsia" w:hAnsi="Lato" w:cstheme="majorBidi"/>
          <w:iCs/>
          <w:kern w:val="32"/>
          <w:sz w:val="20"/>
          <w:szCs w:val="20"/>
        </w:rPr>
        <w:t>.</w:t>
      </w:r>
    </w:p>
    <w:p w14:paraId="1B040D7A" w14:textId="280F1608" w:rsidR="00407EE9" w:rsidRPr="00F204B6" w:rsidRDefault="00407EE9" w:rsidP="00AE6B06">
      <w:pPr>
        <w:pStyle w:val="Nagwek2"/>
        <w:numPr>
          <w:ilvl w:val="0"/>
          <w:numId w:val="1"/>
        </w:numPr>
        <w:spacing w:before="0" w:after="120"/>
        <w:ind w:left="357" w:hanging="357"/>
        <w:rPr>
          <w:rFonts w:ascii="Lato" w:hAnsi="Lato" w:cstheme="minorHAnsi"/>
          <w:i w:val="0"/>
          <w:sz w:val="20"/>
          <w:szCs w:val="20"/>
        </w:rPr>
      </w:pPr>
      <w:bookmarkStart w:id="6" w:name="_Toc107473357"/>
      <w:r w:rsidRPr="00F204B6">
        <w:rPr>
          <w:rFonts w:ascii="Lato" w:hAnsi="Lato" w:cstheme="minorHAnsi"/>
          <w:i w:val="0"/>
          <w:sz w:val="20"/>
          <w:szCs w:val="20"/>
        </w:rPr>
        <w:t>Ramy czasowe kwalifikowalności</w:t>
      </w:r>
      <w:bookmarkEnd w:id="6"/>
    </w:p>
    <w:p w14:paraId="35026178" w14:textId="460286EE" w:rsidR="00101F16" w:rsidRDefault="00101F16" w:rsidP="00101F16">
      <w:pPr>
        <w:pStyle w:val="Akapitzlist"/>
        <w:numPr>
          <w:ilvl w:val="0"/>
          <w:numId w:val="5"/>
        </w:numPr>
        <w:spacing w:after="120" w:line="360" w:lineRule="auto"/>
        <w:ind w:left="714" w:hanging="357"/>
        <w:contextualSpacing w:val="0"/>
        <w:rPr>
          <w:rFonts w:ascii="Lato" w:eastAsia="Calibri" w:hAnsi="Lato" w:cs="Arial"/>
          <w:sz w:val="20"/>
          <w:szCs w:val="20"/>
        </w:rPr>
      </w:pPr>
      <w:bookmarkStart w:id="7" w:name="_Ref178774230"/>
      <w:r w:rsidRPr="009A3ECE">
        <w:rPr>
          <w:rFonts w:ascii="Lato" w:eastAsia="Calibri" w:hAnsi="Lato" w:cs="Arial"/>
          <w:sz w:val="20"/>
          <w:szCs w:val="20"/>
        </w:rPr>
        <w:t>Początkiem okresu kwalifikowania wydatków jest dzień następujący po dniu ogłoszeni</w:t>
      </w:r>
      <w:r w:rsidR="00FE400D">
        <w:rPr>
          <w:rFonts w:ascii="Lato" w:eastAsia="Calibri" w:hAnsi="Lato" w:cs="Arial"/>
          <w:sz w:val="20"/>
          <w:szCs w:val="20"/>
        </w:rPr>
        <w:t>a Wykazu</w:t>
      </w:r>
      <w:r w:rsidR="00EC5D3A" w:rsidRPr="009A3ECE">
        <w:rPr>
          <w:rFonts w:ascii="Lato" w:eastAsia="Calibri" w:hAnsi="Lato" w:cs="Arial"/>
          <w:sz w:val="20"/>
          <w:szCs w:val="20"/>
        </w:rPr>
        <w:t xml:space="preserve"> i dotyczy</w:t>
      </w:r>
      <w:r w:rsidR="000D4934" w:rsidRPr="009A3ECE">
        <w:rPr>
          <w:rFonts w:ascii="Lato" w:eastAsia="Calibri" w:hAnsi="Lato" w:cs="Arial"/>
          <w:sz w:val="20"/>
          <w:szCs w:val="20"/>
        </w:rPr>
        <w:t xml:space="preserve">, zgodnie z art. </w:t>
      </w:r>
      <w:r w:rsidR="00FA0583" w:rsidRPr="009A3ECE">
        <w:rPr>
          <w:rFonts w:ascii="Lato" w:eastAsia="Calibri" w:hAnsi="Lato" w:cs="Arial"/>
          <w:sz w:val="20"/>
          <w:szCs w:val="20"/>
        </w:rPr>
        <w:t xml:space="preserve">13 </w:t>
      </w:r>
      <w:r w:rsidR="000D4934" w:rsidRPr="009A3ECE">
        <w:rPr>
          <w:rFonts w:ascii="Lato" w:eastAsia="Calibri" w:hAnsi="Lato" w:cs="Arial"/>
          <w:sz w:val="20"/>
          <w:szCs w:val="20"/>
        </w:rPr>
        <w:t xml:space="preserve">ust. </w:t>
      </w:r>
      <w:r w:rsidR="00FA0583" w:rsidRPr="009A3ECE">
        <w:rPr>
          <w:rFonts w:ascii="Lato" w:eastAsia="Calibri" w:hAnsi="Lato" w:cs="Arial"/>
          <w:sz w:val="20"/>
          <w:szCs w:val="20"/>
        </w:rPr>
        <w:t xml:space="preserve">3 </w:t>
      </w:r>
      <w:r w:rsidR="000D4934" w:rsidRPr="009A3ECE">
        <w:rPr>
          <w:rFonts w:ascii="Lato" w:eastAsia="Calibri" w:hAnsi="Lato" w:cs="Arial"/>
          <w:sz w:val="20"/>
          <w:szCs w:val="20"/>
        </w:rPr>
        <w:t xml:space="preserve">ustawy o Krajowej Sieci </w:t>
      </w:r>
      <w:r w:rsidR="00FA0583" w:rsidRPr="009A3ECE">
        <w:rPr>
          <w:rFonts w:ascii="Lato" w:eastAsia="Calibri" w:hAnsi="Lato" w:cs="Arial"/>
          <w:sz w:val="20"/>
          <w:szCs w:val="20"/>
        </w:rPr>
        <w:t>Kardiologicznej</w:t>
      </w:r>
      <w:r w:rsidR="000D4934" w:rsidRPr="009A3ECE">
        <w:rPr>
          <w:rFonts w:ascii="Lato" w:eastAsia="Calibri" w:hAnsi="Lato" w:cs="Arial"/>
          <w:sz w:val="20"/>
          <w:szCs w:val="20"/>
        </w:rPr>
        <w:t xml:space="preserve">, </w:t>
      </w:r>
      <w:r w:rsidRPr="009A3ECE">
        <w:rPr>
          <w:rFonts w:ascii="Lato" w:eastAsia="Calibri" w:hAnsi="Lato" w:cs="Arial"/>
          <w:sz w:val="20"/>
          <w:szCs w:val="20"/>
        </w:rPr>
        <w:t>wykazu szpitali, w którym Wnioskodawca został zakwalifikowany na dany poziom</w:t>
      </w:r>
      <w:r w:rsidR="00C74196" w:rsidRPr="009A3ECE">
        <w:rPr>
          <w:rFonts w:ascii="Lato" w:eastAsia="Calibri" w:hAnsi="Lato" w:cs="Arial"/>
          <w:sz w:val="20"/>
          <w:szCs w:val="20"/>
        </w:rPr>
        <w:t xml:space="preserve"> zabezpieczenia opieki kardiologicznej Krajowej Sieci Kardiologicznej</w:t>
      </w:r>
      <w:r w:rsidRPr="009A3ECE">
        <w:rPr>
          <w:rFonts w:ascii="Lato" w:eastAsia="Calibri" w:hAnsi="Lato" w:cs="Arial"/>
          <w:sz w:val="20"/>
          <w:szCs w:val="20"/>
        </w:rPr>
        <w:t>. Końcową</w:t>
      </w:r>
      <w:r w:rsidRPr="00101F16">
        <w:rPr>
          <w:rFonts w:ascii="Lato" w:eastAsia="Calibri" w:hAnsi="Lato" w:cs="Arial"/>
          <w:sz w:val="20"/>
          <w:szCs w:val="20"/>
        </w:rPr>
        <w:t xml:space="preserve"> datą kwalifikowalności wydatków jest termin </w:t>
      </w:r>
      <w:r w:rsidR="00FE400D" w:rsidRPr="00877321">
        <w:rPr>
          <w:rFonts w:ascii="Lato" w:hAnsi="Lato" w:cs="Times New Roman"/>
          <w:sz w:val="20"/>
          <w:szCs w:val="20"/>
        </w:rPr>
        <w:t>określony</w:t>
      </w:r>
      <w:r w:rsidR="00FE400D"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="00FE400D" w:rsidRPr="00877321">
        <w:rPr>
          <w:rFonts w:ascii="Lato" w:hAnsi="Lato" w:cs="Times New Roman"/>
          <w:sz w:val="20"/>
          <w:szCs w:val="20"/>
        </w:rPr>
        <w:t>w</w:t>
      </w:r>
      <w:r w:rsidR="00FE400D"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="00FE400D" w:rsidRPr="00877321">
        <w:rPr>
          <w:rFonts w:ascii="Lato" w:hAnsi="Lato" w:cs="Times New Roman"/>
          <w:sz w:val="20"/>
          <w:szCs w:val="20"/>
        </w:rPr>
        <w:t>umowie</w:t>
      </w:r>
      <w:r w:rsidR="00FE400D"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="00FE400D" w:rsidRPr="00877321">
        <w:rPr>
          <w:rFonts w:ascii="Lato" w:hAnsi="Lato" w:cs="Times New Roman"/>
          <w:sz w:val="20"/>
          <w:szCs w:val="20"/>
        </w:rPr>
        <w:t>o</w:t>
      </w:r>
      <w:r w:rsidR="00FE400D"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="00FE400D" w:rsidRPr="00877321">
        <w:rPr>
          <w:rFonts w:ascii="Lato" w:hAnsi="Lato" w:cs="Times New Roman"/>
          <w:sz w:val="20"/>
          <w:szCs w:val="20"/>
        </w:rPr>
        <w:t>objęcie</w:t>
      </w:r>
      <w:r w:rsidR="00FE400D"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="00FE400D" w:rsidRPr="00877321">
        <w:rPr>
          <w:rFonts w:ascii="Lato" w:hAnsi="Lato" w:cs="Times New Roman"/>
          <w:sz w:val="20"/>
          <w:szCs w:val="20"/>
        </w:rPr>
        <w:t>wsparciem,</w:t>
      </w:r>
      <w:r w:rsidR="00FE400D"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="00FE400D">
        <w:rPr>
          <w:rFonts w:ascii="Lato" w:hAnsi="Lato" w:cs="Times New Roman"/>
          <w:sz w:val="20"/>
          <w:szCs w:val="20"/>
        </w:rPr>
        <w:t>przypadający nie później</w:t>
      </w:r>
      <w:r w:rsidR="00FE400D">
        <w:rPr>
          <w:rFonts w:ascii="Lato" w:eastAsia="Calibri" w:hAnsi="Lato" w:cs="Arial"/>
          <w:sz w:val="20"/>
          <w:szCs w:val="20"/>
        </w:rPr>
        <w:t xml:space="preserve"> </w:t>
      </w:r>
      <w:r w:rsidRPr="00101F16">
        <w:rPr>
          <w:rFonts w:ascii="Lato" w:eastAsia="Calibri" w:hAnsi="Lato" w:cs="Arial"/>
          <w:sz w:val="20"/>
          <w:szCs w:val="20"/>
        </w:rPr>
        <w:t xml:space="preserve">niż </w:t>
      </w:r>
      <w:r w:rsidRPr="00101F16">
        <w:rPr>
          <w:rFonts w:ascii="Lato" w:eastAsia="Calibri" w:hAnsi="Lato" w:cs="Arial"/>
          <w:b/>
          <w:bCs/>
          <w:sz w:val="20"/>
          <w:szCs w:val="20"/>
        </w:rPr>
        <w:t>30 czerwca 2026 r.</w:t>
      </w:r>
      <w:bookmarkEnd w:id="7"/>
    </w:p>
    <w:p w14:paraId="37D9348D" w14:textId="241CF845" w:rsidR="00101F16" w:rsidRPr="00101F16" w:rsidRDefault="00101F16" w:rsidP="00FD193F">
      <w:pPr>
        <w:pStyle w:val="Akapitzlist"/>
        <w:numPr>
          <w:ilvl w:val="0"/>
          <w:numId w:val="5"/>
        </w:numPr>
        <w:spacing w:after="120" w:line="360" w:lineRule="auto"/>
        <w:ind w:left="714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101F16">
        <w:rPr>
          <w:rFonts w:ascii="Lato" w:eastAsia="Calibri" w:hAnsi="Lato" w:cs="Arial"/>
          <w:sz w:val="20"/>
          <w:szCs w:val="20"/>
        </w:rPr>
        <w:t xml:space="preserve">Wydatki już poniesione przez wnioskodawcę po terminie </w:t>
      </w:r>
      <w:r w:rsidR="00631B8C">
        <w:rPr>
          <w:rFonts w:ascii="Lato" w:eastAsia="Calibri" w:hAnsi="Lato" w:cs="Arial"/>
          <w:sz w:val="20"/>
          <w:szCs w:val="20"/>
        </w:rPr>
        <w:t xml:space="preserve">początkowej daty kwalifikowalności, </w:t>
      </w:r>
      <w:r w:rsidRPr="00101F16">
        <w:rPr>
          <w:rFonts w:ascii="Lato" w:eastAsia="Calibri" w:hAnsi="Lato" w:cs="Arial"/>
          <w:sz w:val="20"/>
          <w:szCs w:val="20"/>
        </w:rPr>
        <w:t xml:space="preserve">wskazanym w </w:t>
      </w:r>
      <w:r>
        <w:rPr>
          <w:rFonts w:ascii="Lato" w:eastAsia="Calibri" w:hAnsi="Lato" w:cs="Arial"/>
          <w:sz w:val="20"/>
          <w:szCs w:val="20"/>
        </w:rPr>
        <w:t>pkt 1)</w:t>
      </w:r>
      <w:r w:rsidRPr="00101F16">
        <w:rPr>
          <w:rFonts w:ascii="Lato" w:eastAsia="Calibri" w:hAnsi="Lato" w:cs="Arial"/>
          <w:sz w:val="20"/>
          <w:szCs w:val="20"/>
        </w:rPr>
        <w:t xml:space="preserve"> mogą zostać uznane za kwalifikowalne tylko w przypadku, gdy </w:t>
      </w:r>
      <w:r w:rsidR="00FE400D">
        <w:rPr>
          <w:rFonts w:ascii="Lato" w:eastAsia="Calibri" w:hAnsi="Lato" w:cs="Arial"/>
          <w:sz w:val="20"/>
          <w:szCs w:val="20"/>
        </w:rPr>
        <w:t xml:space="preserve">są to wydatki </w:t>
      </w:r>
      <w:r w:rsidR="00FE400D">
        <w:rPr>
          <w:rFonts w:ascii="Lato" w:hAnsi="Lato" w:cs="Times New Roman"/>
          <w:sz w:val="20"/>
          <w:szCs w:val="20"/>
        </w:rPr>
        <w:t>sfinansowane ze środków własnych wnioskodawcy</w:t>
      </w:r>
      <w:r w:rsidR="00FE400D"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="00FE400D" w:rsidRPr="00877321">
        <w:rPr>
          <w:rFonts w:ascii="Lato" w:hAnsi="Lato" w:cs="Times New Roman"/>
          <w:sz w:val="20"/>
          <w:szCs w:val="20"/>
        </w:rPr>
        <w:t>lub</w:t>
      </w:r>
      <w:r w:rsidR="00FE400D"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="00FE400D" w:rsidRPr="00877321">
        <w:rPr>
          <w:rFonts w:ascii="Lato" w:hAnsi="Lato" w:cs="Times New Roman"/>
          <w:sz w:val="20"/>
          <w:szCs w:val="20"/>
        </w:rPr>
        <w:t>zaciągnięt</w:t>
      </w:r>
      <w:r w:rsidR="00FE400D">
        <w:rPr>
          <w:rFonts w:ascii="Lato" w:hAnsi="Lato" w:cs="Times New Roman"/>
          <w:sz w:val="20"/>
          <w:szCs w:val="20"/>
        </w:rPr>
        <w:t>ych</w:t>
      </w:r>
      <w:r w:rsidR="00FE400D"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="00FE400D" w:rsidRPr="00877321">
        <w:rPr>
          <w:rFonts w:ascii="Lato" w:hAnsi="Lato" w:cs="Times New Roman"/>
          <w:sz w:val="20"/>
          <w:szCs w:val="20"/>
        </w:rPr>
        <w:t>zobowiąza</w:t>
      </w:r>
      <w:r w:rsidR="00FE400D">
        <w:rPr>
          <w:rFonts w:ascii="Lato" w:hAnsi="Lato" w:cs="Times New Roman"/>
          <w:sz w:val="20"/>
          <w:szCs w:val="20"/>
        </w:rPr>
        <w:t>ń</w:t>
      </w:r>
      <w:r w:rsidR="00FE400D"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="00FE400D" w:rsidRPr="00877321">
        <w:rPr>
          <w:rFonts w:ascii="Lato" w:hAnsi="Lato" w:cs="Times New Roman"/>
          <w:sz w:val="20"/>
          <w:szCs w:val="20"/>
        </w:rPr>
        <w:t>w postaci</w:t>
      </w:r>
      <w:r w:rsidR="00FE400D"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="00FE400D" w:rsidRPr="00877321">
        <w:rPr>
          <w:rFonts w:ascii="Lato" w:hAnsi="Lato" w:cs="Times New Roman"/>
          <w:sz w:val="20"/>
          <w:szCs w:val="20"/>
        </w:rPr>
        <w:t>kredytu lub</w:t>
      </w:r>
      <w:r w:rsidR="00FE400D"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="00FE400D" w:rsidRPr="00877321">
        <w:rPr>
          <w:rFonts w:ascii="Lato" w:hAnsi="Lato" w:cs="Times New Roman"/>
          <w:sz w:val="20"/>
          <w:szCs w:val="20"/>
        </w:rPr>
        <w:t>pożyczki</w:t>
      </w:r>
      <w:r w:rsidR="00A864E3">
        <w:rPr>
          <w:rFonts w:ascii="Lato" w:hAnsi="Lato" w:cs="Times New Roman"/>
          <w:sz w:val="20"/>
          <w:szCs w:val="20"/>
        </w:rPr>
        <w:t>.</w:t>
      </w:r>
    </w:p>
    <w:p w14:paraId="749591DE" w14:textId="67A41D15" w:rsidR="00407EE9" w:rsidRPr="00F204B6" w:rsidRDefault="00407EE9" w:rsidP="00AE6B06">
      <w:pPr>
        <w:pStyle w:val="Nagwek2"/>
        <w:numPr>
          <w:ilvl w:val="0"/>
          <w:numId w:val="1"/>
        </w:numPr>
        <w:spacing w:before="0" w:after="120"/>
        <w:ind w:left="357" w:hanging="357"/>
        <w:rPr>
          <w:rFonts w:ascii="Lato" w:hAnsi="Lato" w:cstheme="minorHAnsi"/>
          <w:i w:val="0"/>
          <w:sz w:val="20"/>
          <w:szCs w:val="20"/>
        </w:rPr>
      </w:pPr>
      <w:bookmarkStart w:id="8" w:name="_Toc107473359"/>
      <w:r w:rsidRPr="00F204B6">
        <w:rPr>
          <w:rFonts w:ascii="Lato" w:hAnsi="Lato" w:cstheme="minorHAnsi"/>
          <w:i w:val="0"/>
          <w:sz w:val="20"/>
          <w:szCs w:val="20"/>
        </w:rPr>
        <w:lastRenderedPageBreak/>
        <w:t>Wydatki niekwalifikowalne</w:t>
      </w:r>
      <w:bookmarkEnd w:id="8"/>
    </w:p>
    <w:p w14:paraId="32F22914" w14:textId="0670F862" w:rsidR="00333E81" w:rsidRPr="00F204B6" w:rsidRDefault="00333E81" w:rsidP="004B0F33">
      <w:pPr>
        <w:pStyle w:val="Akapitzlist"/>
        <w:numPr>
          <w:ilvl w:val="0"/>
          <w:numId w:val="6"/>
        </w:numPr>
        <w:spacing w:after="120" w:line="360" w:lineRule="auto"/>
        <w:ind w:left="714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Następujące wydatki są niekwalifikowalne:</w:t>
      </w:r>
    </w:p>
    <w:p w14:paraId="5A8D4EB9" w14:textId="0F4E762E" w:rsidR="00807A44" w:rsidRPr="00F204B6" w:rsidRDefault="00807A44" w:rsidP="004B0F3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podatek od towarów i usług (VAT),</w:t>
      </w:r>
    </w:p>
    <w:p w14:paraId="0F1EA0BC" w14:textId="75F53208" w:rsidR="00333E81" w:rsidRPr="00F204B6" w:rsidRDefault="00333E81" w:rsidP="004B0F3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prowizje pobierane w ramach operacji wymiany walut,</w:t>
      </w:r>
    </w:p>
    <w:p w14:paraId="68A499EE" w14:textId="13E8B5BD" w:rsidR="00333E81" w:rsidRPr="00F204B6" w:rsidRDefault="00333E81" w:rsidP="004B0F3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odsetki od zadłużenia, z wyjątkiem wydatków ponoszonych na subsydiowanie odsetek lub na dotacje na opłaty gwarancyjne w przypadku udzielania wsparcia</w:t>
      </w:r>
      <w:r w:rsidR="006C02A5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13CFD0BD" w14:textId="1D612461" w:rsidR="00807A44" w:rsidRPr="00F204B6" w:rsidRDefault="00807A44" w:rsidP="004B0F3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koszty pożyczki lub kredytu zaciągniętego na prefinansowanie </w:t>
      </w:r>
      <w:r w:rsidR="00184EFE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przedsięwzięcia,</w:t>
      </w:r>
    </w:p>
    <w:p w14:paraId="2687ADBD" w14:textId="620DB4BD" w:rsidR="00807A44" w:rsidRPr="00F204B6" w:rsidRDefault="00807A44" w:rsidP="004B0F3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kary i grzywny,</w:t>
      </w:r>
    </w:p>
    <w:p w14:paraId="13E290EB" w14:textId="61F47FFD" w:rsidR="00807A44" w:rsidRPr="00F204B6" w:rsidRDefault="00807A44" w:rsidP="004B0F3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świadczenia realizowane ze środków Zakładowego Funduszu Świadczeń Socjalnych (ZFŚS),</w:t>
      </w:r>
    </w:p>
    <w:p w14:paraId="75DE3227" w14:textId="5012BE27" w:rsidR="00807A44" w:rsidRPr="00F204B6" w:rsidRDefault="00807A44" w:rsidP="004B0F3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odprawy emerytalno</w:t>
      </w:r>
      <w:r w:rsidR="00D43A1F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-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rentowe personelu</w:t>
      </w:r>
      <w:r w:rsidR="00FB0D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przedsięwzięcia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6FCA520E" w14:textId="0519A218" w:rsidR="00807A44" w:rsidRPr="00F204B6" w:rsidRDefault="00807A44" w:rsidP="004B0F3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rozliczony notą księgową koszt zakupu środka trwałego będącego własnością </w:t>
      </w:r>
      <w:r w:rsidR="00E9133F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="0098296F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lub prawa przysługującego </w:t>
      </w:r>
      <w:r w:rsidR="00E9133F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3FBAE5D6" w14:textId="339B9F88" w:rsidR="00807A44" w:rsidRPr="00F204B6" w:rsidRDefault="00807A44" w:rsidP="004B0F3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wpłaty na Państwowy Fundusz Rehabilitacji Osób Niepełnosprawnych (PFRON),</w:t>
      </w:r>
    </w:p>
    <w:p w14:paraId="3F2B4547" w14:textId="2AAE1A76" w:rsidR="00333E81" w:rsidRPr="00F204B6" w:rsidRDefault="00807A44" w:rsidP="004B0F3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koszty postępowania sądowego, wydatki związane z przygotowaniem i obsługą prawną spraw sądowych oraz wydatki poniesione na funkcjonowanie komisji rozjemczych, </w:t>
      </w:r>
    </w:p>
    <w:p w14:paraId="26B173AC" w14:textId="006BDDA5" w:rsidR="00503C3E" w:rsidRPr="00F204B6" w:rsidRDefault="00A926E1" w:rsidP="004B0F3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inne niż część kapitałowa raty leasingowej wydatki związane z umową leasingu, w szczególności marża finansującego,</w:t>
      </w:r>
    </w:p>
    <w:p w14:paraId="67D8745E" w14:textId="04AC6CC2" w:rsidR="00807A44" w:rsidRPr="00F204B6" w:rsidRDefault="00A926E1" w:rsidP="00EA1F7A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odsetki od refinansowania kosztów, </w:t>
      </w:r>
    </w:p>
    <w:p w14:paraId="36089AFA" w14:textId="6CD776D5" w:rsidR="00A926E1" w:rsidRPr="00042A43" w:rsidRDefault="004C4A87" w:rsidP="004B0F3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042A43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koszty </w:t>
      </w:r>
      <w:r w:rsidR="00A926E1" w:rsidRPr="00042A43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zakup</w:t>
      </w:r>
      <w:r w:rsidRPr="00042A43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u i inne koszty związane z </w:t>
      </w:r>
      <w:r w:rsidR="00A926E1" w:rsidRPr="00042A43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lokal</w:t>
      </w:r>
      <w:r w:rsidRPr="00042A43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ami</w:t>
      </w:r>
      <w:r w:rsidR="00A926E1" w:rsidRPr="00042A43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mieszkalny</w:t>
      </w:r>
      <w:r w:rsidRPr="00042A43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mi, </w:t>
      </w:r>
    </w:p>
    <w:p w14:paraId="585F3992" w14:textId="0C6AB8EA" w:rsidR="00A926E1" w:rsidRPr="00F204B6" w:rsidRDefault="00C21078" w:rsidP="004B0F3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transakcje dokonane</w:t>
      </w:r>
      <w:r w:rsidR="008D4847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w gotówce - </w:t>
      </w:r>
      <w:r w:rsidR="00A926E1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bez względu na liczbę wynikających z nich płatności, których wartość przekracza kwotę, o której mowa w art. 19 ustawy z dnia 6 marca 2018 r. Prawo przedsiębiorców (Dz. U. z 20</w:t>
      </w:r>
      <w:r w:rsidR="006871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2</w:t>
      </w:r>
      <w:r w:rsidR="00A53CA3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4</w:t>
      </w:r>
      <w:r w:rsidR="00A926E1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r. poz. </w:t>
      </w:r>
      <w:r w:rsidR="00F84E2E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2</w:t>
      </w:r>
      <w:r w:rsidR="00A53CA3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36</w:t>
      </w:r>
      <w:r w:rsidR="00A926E1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)</w:t>
      </w:r>
      <w:r w:rsidR="006C02A5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13577C36" w14:textId="0AE80826" w:rsidR="000058A7" w:rsidRPr="00042A43" w:rsidRDefault="00934E73" w:rsidP="004B0F3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042A43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zakup nieruchomości</w:t>
      </w:r>
      <w:r w:rsidR="009A3ECE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.</w:t>
      </w:r>
    </w:p>
    <w:p w14:paraId="30BD31F6" w14:textId="67982BA9" w:rsidR="00FA0583" w:rsidRDefault="000058A7" w:rsidP="00FA058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wynagrodzenia finansowane z kosztów bezpośrednich przedsięwzięcia wraz ze składnikami płacowymi i pozapłacowymi</w:t>
      </w:r>
      <w:r w:rsidR="006C02A5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582B9CA2" w14:textId="56E150C3" w:rsidR="00FA0583" w:rsidRPr="00FA0583" w:rsidRDefault="00FA0583" w:rsidP="00FA058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opłata za z</w:t>
      </w:r>
      <w:r w:rsidRPr="00FA0583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łożenie wniosku o wydanie Opinii o Celowości Inwestycji.</w:t>
      </w:r>
    </w:p>
    <w:p w14:paraId="425140B4" w14:textId="77777777" w:rsidR="00745343" w:rsidRPr="00F204B6" w:rsidRDefault="00745343" w:rsidP="004B0F33">
      <w:pPr>
        <w:pStyle w:val="Akapitzlist"/>
        <w:numPr>
          <w:ilvl w:val="0"/>
          <w:numId w:val="7"/>
        </w:numPr>
        <w:spacing w:after="120" w:line="360" w:lineRule="auto"/>
        <w:ind w:left="714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Niedozwolone jest podwójne finansowanie wydatków. Przykłady tego rodzaju wydatków:</w:t>
      </w:r>
    </w:p>
    <w:p w14:paraId="422C0478" w14:textId="68FFC741" w:rsidR="00745343" w:rsidRPr="00F204B6" w:rsidRDefault="00745343" w:rsidP="002E0A71">
      <w:pPr>
        <w:pStyle w:val="Akapitzlist"/>
        <w:numPr>
          <w:ilvl w:val="2"/>
          <w:numId w:val="17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więcej niż jednokrotne przedstawienie do rozliczenia tego samego wydatku albo tej samej części wydatku ze środków UE w jakiejkolwiek formie</w:t>
      </w:r>
      <w:r w:rsidR="006C02A5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2DB44996" w14:textId="77777777" w:rsidR="00745343" w:rsidRPr="00F204B6" w:rsidRDefault="00745343" w:rsidP="002E0A71">
      <w:pPr>
        <w:pStyle w:val="Akapitzlist"/>
        <w:numPr>
          <w:ilvl w:val="2"/>
          <w:numId w:val="17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rozliczenie zakupu używanego środka trwałego, który był uprzednio współfinansowany z udziałem środków UE,</w:t>
      </w:r>
    </w:p>
    <w:p w14:paraId="7877B8BC" w14:textId="77777777" w:rsidR="00745343" w:rsidRPr="00F204B6" w:rsidRDefault="00745343" w:rsidP="002E0A71">
      <w:pPr>
        <w:pStyle w:val="Akapitzlist"/>
        <w:numPr>
          <w:ilvl w:val="2"/>
          <w:numId w:val="17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lastRenderedPageBreak/>
        <w:t>rozliczenie kosztów amortyzacji środka trwałego uprzednio zakupionego z udziałem środków UE,</w:t>
      </w:r>
    </w:p>
    <w:p w14:paraId="23F6FBCF" w14:textId="40FBEA49" w:rsidR="00745343" w:rsidRPr="00F204B6" w:rsidRDefault="00745343" w:rsidP="002E0A71">
      <w:pPr>
        <w:pStyle w:val="Akapitzlist"/>
        <w:numPr>
          <w:ilvl w:val="2"/>
          <w:numId w:val="17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rozliczenie wydatku poniesionego przez leasingodawcę na zakup przedmiotu leasingu w ramach leasingu finansowego, a następnie rozliczenie rat opłacanych </w:t>
      </w:r>
      <w:r w:rsidR="008A367E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przez OOW</w:t>
      </w:r>
      <w:r w:rsidR="000E4DA3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 związku z leasingiem tego przedmiotu</w:t>
      </w:r>
      <w:r w:rsidR="00997D36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ze środków </w:t>
      </w:r>
      <w:r w:rsidR="008A367E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unijnych</w:t>
      </w:r>
      <w:r w:rsidR="00997D36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5527033F" w14:textId="2690E52E" w:rsidR="00745343" w:rsidRPr="00F204B6" w:rsidRDefault="00745343" w:rsidP="002E0A71">
      <w:pPr>
        <w:pStyle w:val="Akapitzlist"/>
        <w:numPr>
          <w:ilvl w:val="2"/>
          <w:numId w:val="17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objęcie kosztów kwalifikowalnych jednocześnie wsparciem </w:t>
      </w:r>
      <w:r w:rsidR="00184EFE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udzielonym z udziałem środków unijnych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 formie pożyczki i gwarancji/poręczenia,</w:t>
      </w:r>
    </w:p>
    <w:p w14:paraId="54B479ED" w14:textId="3A638EDD" w:rsidR="00745343" w:rsidRPr="00F204B6" w:rsidRDefault="00745343" w:rsidP="002E0A71">
      <w:pPr>
        <w:pStyle w:val="Akapitzlist"/>
        <w:numPr>
          <w:ilvl w:val="2"/>
          <w:numId w:val="17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otrzymanie na wydatki kwalifikowalne danego przedsięwzięcia lub jego części </w:t>
      </w:r>
      <w:r w:rsidR="00A864E3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wsparcia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z</w:t>
      </w:r>
      <w:r w:rsidR="00184EFE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e środków unijnych</w:t>
      </w:r>
      <w:r w:rsidR="007E07E8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7E07E8" w:rsidRPr="007E07E8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środków budżetu państwa, Narodowego Funduszu Zdrowia lub Funduszu Medycznego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</w:t>
      </w:r>
      <w:r w:rsidR="00184EFE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 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wysokości łącznie wyższej niż 100% wydatków kwalifikowalnych przedsięwzięcia lub części.</w:t>
      </w:r>
    </w:p>
    <w:p w14:paraId="146C4391" w14:textId="7C330720" w:rsidR="00635620" w:rsidRPr="00F204B6" w:rsidRDefault="00A926E1" w:rsidP="004B0F33">
      <w:pPr>
        <w:pStyle w:val="Akapitzlist"/>
        <w:numPr>
          <w:ilvl w:val="0"/>
          <w:numId w:val="7"/>
        </w:numPr>
        <w:spacing w:after="120" w:line="360" w:lineRule="auto"/>
        <w:ind w:left="714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bookmarkStart w:id="9" w:name="_Toc107473360"/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Wydatki uznane za niekwalifikowalne, a związane z realizacją </w:t>
      </w:r>
      <w:r w:rsidR="005A7FF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przedsięwzięcia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, ponosi </w:t>
      </w:r>
      <w:r w:rsidR="00E9133F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="0098296F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jako strona umowy o</w:t>
      </w:r>
      <w:r w:rsidR="00A07836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 </w:t>
      </w:r>
      <w:r w:rsidR="00D037B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objęcie </w:t>
      </w:r>
      <w:r w:rsidR="000565C8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wsparciem przedsięwzięcia</w:t>
      </w:r>
      <w:r w:rsidR="005D3050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.</w:t>
      </w:r>
    </w:p>
    <w:p w14:paraId="2909D993" w14:textId="7BA032AB" w:rsidR="00407EE9" w:rsidRPr="00F204B6" w:rsidRDefault="00407EE9" w:rsidP="00AE6B06">
      <w:pPr>
        <w:pStyle w:val="Nagwek2"/>
        <w:numPr>
          <w:ilvl w:val="0"/>
          <w:numId w:val="1"/>
        </w:numPr>
        <w:spacing w:before="0" w:after="120"/>
        <w:ind w:left="357" w:hanging="357"/>
        <w:rPr>
          <w:rFonts w:ascii="Lato" w:hAnsi="Lato" w:cstheme="minorHAnsi"/>
          <w:i w:val="0"/>
          <w:iCs/>
          <w:sz w:val="20"/>
          <w:szCs w:val="20"/>
        </w:rPr>
      </w:pPr>
      <w:r w:rsidRPr="00F204B6">
        <w:rPr>
          <w:rFonts w:ascii="Lato" w:hAnsi="Lato" w:cstheme="minorHAnsi"/>
          <w:i w:val="0"/>
          <w:iCs/>
          <w:sz w:val="20"/>
          <w:szCs w:val="20"/>
        </w:rPr>
        <w:t>Zasada faktycznego poniesienia wydatku</w:t>
      </w:r>
      <w:bookmarkEnd w:id="9"/>
    </w:p>
    <w:p w14:paraId="6C1F3663" w14:textId="41647767" w:rsidR="00635620" w:rsidRPr="00F204B6" w:rsidRDefault="00A926E1" w:rsidP="004B0F33">
      <w:pPr>
        <w:pStyle w:val="Akapitzlist"/>
        <w:numPr>
          <w:ilvl w:val="0"/>
          <w:numId w:val="8"/>
        </w:numPr>
        <w:spacing w:after="120" w:line="360" w:lineRule="auto"/>
        <w:ind w:left="714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 zastrzeżeniem szczegółowych warunków i procedur ponoszenia wydatków</w:t>
      </w:r>
      <w:r w:rsidR="00AD2D66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określonych przez </w:t>
      </w:r>
      <w:r w:rsidR="00AD2D66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IOI</w:t>
      </w:r>
      <w:r w:rsidR="006871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w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regulaminie </w:t>
      </w:r>
      <w:r w:rsidR="00B74E6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wy</w:t>
      </w:r>
      <w:r w:rsidR="00AD2D66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boru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lub w umowie o </w:t>
      </w:r>
      <w:r w:rsidR="00D037B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objęcie wsparciem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5D3050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przedsięwzięcia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 do</w:t>
      </w:r>
      <w:r w:rsidR="00AD2D66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finansowania kwalifikuje się wydatek, który został faktycznie poniesiony przez</w:t>
      </w:r>
      <w:r w:rsidR="00AD2D66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6B48C1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.</w:t>
      </w:r>
    </w:p>
    <w:p w14:paraId="610CBB34" w14:textId="2028756B" w:rsidR="00635620" w:rsidRPr="00F204B6" w:rsidRDefault="00A926E1" w:rsidP="004B0F33">
      <w:pPr>
        <w:pStyle w:val="Akapitzlist"/>
        <w:numPr>
          <w:ilvl w:val="0"/>
          <w:numId w:val="8"/>
        </w:numPr>
        <w:spacing w:after="120" w:line="360" w:lineRule="auto"/>
        <w:ind w:left="714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Pod pojęciem wydatku faktycznie poniesionego należy rozumieć wydatek</w:t>
      </w:r>
      <w:r w:rsidR="00AD2D66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poniesiony w znaczeniu kasowym, tj. jako rozchód środków pieniężnych z kasy lub</w:t>
      </w:r>
      <w:r w:rsidR="00AD2D66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rachunku płatniczego (obciążenie rachunku płatniczego </w:t>
      </w:r>
      <w:r w:rsidR="008A367E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 kwotą</w:t>
      </w:r>
      <w:r w:rsidR="00AD2D66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transakcji). </w:t>
      </w:r>
    </w:p>
    <w:p w14:paraId="7EDCD8ED" w14:textId="28C96CD5" w:rsidR="00635620" w:rsidRPr="00F204B6" w:rsidRDefault="00AD2D66" w:rsidP="004B0F33">
      <w:pPr>
        <w:pStyle w:val="Akapitzlist"/>
        <w:numPr>
          <w:ilvl w:val="0"/>
          <w:numId w:val="8"/>
        </w:numPr>
        <w:spacing w:after="120" w:line="360" w:lineRule="auto"/>
        <w:ind w:left="714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Za kwalifikowalne mogą być uznane zaliczki (na określony cel) wypłacone wykonawcy zgodnie z postanowieniami umowy w sprawie realizacji zamówienia</w:t>
      </w:r>
      <w:r w:rsidR="00FB0D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przedsięwzięcia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. Jeśli element objęty zaliczką nie jest w ramach tego </w:t>
      </w:r>
      <w:r w:rsidR="00322A48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przedsięwzięcia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kwalifikowalny lub nie zostanie faktycznie wykonany w okresie kwalifikowalności</w:t>
      </w:r>
      <w:r w:rsidR="00FB0D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przedsięwzięcia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 zaliczka przestaje być wydatkiem kwalifikowalnym.</w:t>
      </w:r>
    </w:p>
    <w:p w14:paraId="671C3D45" w14:textId="47A99CAF" w:rsidR="00AD2D66" w:rsidRPr="00F204B6" w:rsidRDefault="00AD2D66" w:rsidP="004B0F33">
      <w:pPr>
        <w:pStyle w:val="Akapitzlist"/>
        <w:numPr>
          <w:ilvl w:val="0"/>
          <w:numId w:val="8"/>
        </w:numPr>
        <w:spacing w:after="120" w:line="360" w:lineRule="auto"/>
        <w:ind w:left="714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Co do zasady, za kwalifikowalne uznawane są wydatki ponoszone przez </w:t>
      </w:r>
      <w:r w:rsidR="006B48C1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="00F66429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na rzecz wykonawcy będącego stroną umowy w sprawie realizacji zamówienia w ramach </w:t>
      </w:r>
      <w:r w:rsidR="00322A48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przedsięwzięcia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zawartej z </w:t>
      </w:r>
      <w:r w:rsidR="006B48C1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. Wydatki ponoszone przez </w:t>
      </w:r>
      <w:r w:rsidR="006B48C1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na rzecz innych podmiotów uczestniczących w realizacji tej umowy, w tym podwykonawców, mogą zostać uznane za kwalifikowalne w następujących przypadkach:</w:t>
      </w:r>
    </w:p>
    <w:p w14:paraId="3F76D501" w14:textId="6817DFE3" w:rsidR="00AD2D66" w:rsidRPr="00F204B6" w:rsidRDefault="00AD2D66" w:rsidP="004B0F33">
      <w:pPr>
        <w:pStyle w:val="Akapitzlist"/>
        <w:numPr>
          <w:ilvl w:val="1"/>
          <w:numId w:val="3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w przypadku dokonania przez wykonawcę cesji wierzytelności, wydatki poniesione przez </w:t>
      </w:r>
      <w:r w:rsidR="008A367E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 (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zamawiającego) na rachunek płatniczy cesjonariusza mogą być uznane za kwalifikowalne, jeśli zostaną poniesione zgodnie z pozostałymi wymogami dotyczącymi kwalifikowania wydatków, pod warunkiem dokonania cesji zgodnie z prawem, w tym zgodnie z ustawą Kodeks cywilny,</w:t>
      </w:r>
    </w:p>
    <w:p w14:paraId="5E3F1988" w14:textId="67760B65" w:rsidR="00AD2D66" w:rsidRPr="00F204B6" w:rsidRDefault="00AD2D66" w:rsidP="004B0F33">
      <w:pPr>
        <w:pStyle w:val="Akapitzlist"/>
        <w:numPr>
          <w:ilvl w:val="1"/>
          <w:numId w:val="3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w przypadku, gdy </w:t>
      </w:r>
      <w:r w:rsidR="006B48C1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="00CC08DB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dokonuje płatności bezpośrednio na rzecz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podwykonawcy, zgodnie z art. 647¹ ustawy Kodeks cywilny lub na podstawie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przepisów innych ustaw, wydatki dokonane w tym trybie mogą być uznane za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kwalifikowalne, jeżeli zostały dokonane z zachowaniem pozostałych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obowiązujących zasad i zgodnie z pozostałymi warunkami dotyczącymi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kwalifikowalności wydatków oraz jeśli </w:t>
      </w:r>
      <w:r w:rsidR="006B48C1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nie dokonał dwukrotnej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płatności za ten sam zakres wykonanych robót,</w:t>
      </w:r>
    </w:p>
    <w:p w14:paraId="5611B3A4" w14:textId="1D36A6B4" w:rsidR="00417C8D" w:rsidRPr="00F204B6" w:rsidRDefault="00AD2D66" w:rsidP="004B0F33">
      <w:pPr>
        <w:pStyle w:val="Akapitzlist"/>
        <w:numPr>
          <w:ilvl w:val="1"/>
          <w:numId w:val="3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lastRenderedPageBreak/>
        <w:t>w przypadku zajęcia płatności na rzecz wykonawcy przez komornika wydatek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poniesiony na rachunek płatniczy wskazany przez komornika może być uznany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za kwalifikowalny, jeżeli został poniesiony zgodnie z pozostałymi warunkami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dotyczącymi kwalifikowania wydatków.</w:t>
      </w:r>
    </w:p>
    <w:p w14:paraId="7502A1BB" w14:textId="117698F7" w:rsidR="00AD2D66" w:rsidRPr="00F204B6" w:rsidRDefault="00AD2D66" w:rsidP="003056A9">
      <w:pPr>
        <w:pStyle w:val="Akapitzlist"/>
        <w:spacing w:after="120" w:line="360" w:lineRule="auto"/>
        <w:ind w:left="726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 przypadku płatności dokonywanych z wykorzystaniem instytucji przekazu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uregulowanej w art. 921</w:t>
      </w:r>
      <w:r w:rsidR="00A053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i nast. ustawy Kodeks cywilny na rachunek płatniczy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podmiotu innego niż podmiot będący stroną umowy </w:t>
      </w:r>
      <w:r w:rsidR="00015C85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z OOW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lub wskazanego w umowie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w sprawie realizacji zamówienia zawartej z </w:t>
      </w:r>
      <w:r w:rsidR="006B48C1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wydatek może być uznany za kwalifikowalny pod warunkiem zapewnienia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zgodności z przepisami prawa, z pozostałymi wymogami dotyczącymi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kwalifikowania wydatków (w tym z uwzględnieniem obowiązków w zakresie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dokumentowania wydatków, jak np. zapewnienie właściwej ścieżki audytu).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Uznanie za kwalifikowalny wydatku poniesionego w związku z zastosowaniem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0204AC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„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przekazu w kredyt</w:t>
      </w:r>
      <w:r w:rsidR="000204AC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”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może mieć jedynie charakter wyjątkowy, uzasadniony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nadzwyczajnymi okolicznościami wynikającymi ze specyficznych warunków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realizacji </w:t>
      </w:r>
      <w:r w:rsidR="00322A48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przedsięwzięcia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i wymaga wyrażenia zgody przez </w:t>
      </w:r>
      <w:r w:rsidR="007630C4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IK KPO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.</w:t>
      </w:r>
    </w:p>
    <w:p w14:paraId="72A6B6CE" w14:textId="6EC20D3D" w:rsidR="00635620" w:rsidRPr="00F204B6" w:rsidRDefault="00CD2072" w:rsidP="004B0F33">
      <w:pPr>
        <w:pStyle w:val="Akapitzlist"/>
        <w:numPr>
          <w:ilvl w:val="0"/>
          <w:numId w:val="4"/>
        </w:numPr>
        <w:spacing w:after="120" w:line="360" w:lineRule="auto"/>
        <w:ind w:left="714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Dowodem poniesienia wydatku jest zapłacona faktura, inny dokument księgowy o równoważnej wartości dowodowej</w:t>
      </w:r>
      <w:r w:rsidRPr="00F204B6">
        <w:rPr>
          <w:rFonts w:ascii="Lato" w:hAnsi="Lato" w:cstheme="minorHAnsi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wraz z odpowiednim dokumentem potwierdzającym dokonanie płatności.</w:t>
      </w:r>
    </w:p>
    <w:p w14:paraId="008A8415" w14:textId="4CF3AD13" w:rsidR="00CD2072" w:rsidRPr="00F204B6" w:rsidRDefault="00CD2072" w:rsidP="004B0F33">
      <w:pPr>
        <w:pStyle w:val="Akapitzlist"/>
        <w:numPr>
          <w:ilvl w:val="0"/>
          <w:numId w:val="4"/>
        </w:numPr>
        <w:spacing w:after="120" w:line="360" w:lineRule="auto"/>
        <w:ind w:left="714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Za datę poniesienia wydatku przyjmuje się:</w:t>
      </w:r>
    </w:p>
    <w:p w14:paraId="5CF9B9B2" w14:textId="030E3989" w:rsidR="00CD2072" w:rsidRPr="00F204B6" w:rsidRDefault="00CD2072" w:rsidP="004B0F33">
      <w:pPr>
        <w:pStyle w:val="Akapitzlist"/>
        <w:numPr>
          <w:ilvl w:val="0"/>
          <w:numId w:val="9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 przypadku wydatków pieniężnych:</w:t>
      </w:r>
    </w:p>
    <w:p w14:paraId="3C1EF499" w14:textId="690C7541" w:rsidR="003056A9" w:rsidRPr="00F204B6" w:rsidRDefault="003056A9" w:rsidP="004B0F33">
      <w:pPr>
        <w:pStyle w:val="Akapitzlist"/>
        <w:numPr>
          <w:ilvl w:val="2"/>
          <w:numId w:val="3"/>
        </w:numPr>
        <w:spacing w:after="120" w:line="360" w:lineRule="auto"/>
        <w:ind w:left="1775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dokonanych przelewem lub obciążeniową kartą płatniczą – datę obciążenia rachunku płatniczego, tj. datę księgowania operacji, </w:t>
      </w:r>
    </w:p>
    <w:p w14:paraId="4E055325" w14:textId="631BC9F0" w:rsidR="00CD2072" w:rsidRPr="00F204B6" w:rsidRDefault="00CD2072" w:rsidP="004B0F33">
      <w:pPr>
        <w:pStyle w:val="Akapitzlist"/>
        <w:numPr>
          <w:ilvl w:val="2"/>
          <w:numId w:val="3"/>
        </w:numPr>
        <w:spacing w:after="120" w:line="360" w:lineRule="auto"/>
        <w:ind w:left="1775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dokonanych kartą kredytową lub podobnym instrumentem płatniczym o odroczonej płatności – datę transakcji skutkującej obciążeniem rachunku karty kredytowej lub podobnego instrumentu,</w:t>
      </w:r>
    </w:p>
    <w:p w14:paraId="16B92187" w14:textId="747F9952" w:rsidR="00CD2072" w:rsidRPr="00F204B6" w:rsidRDefault="00CD2072" w:rsidP="004B0F33">
      <w:pPr>
        <w:pStyle w:val="Akapitzlist"/>
        <w:numPr>
          <w:ilvl w:val="0"/>
          <w:numId w:val="9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dokonanych gotówką – datę faktycznego dokonania płatności,</w:t>
      </w:r>
    </w:p>
    <w:p w14:paraId="7BE12D78" w14:textId="3E46D981" w:rsidR="00CD2072" w:rsidRPr="00F204B6" w:rsidRDefault="00CD2072" w:rsidP="004B0F33">
      <w:pPr>
        <w:pStyle w:val="Akapitzlist"/>
        <w:numPr>
          <w:ilvl w:val="0"/>
          <w:numId w:val="9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 przypadku potrącenia – datę, w której potrącenie staje się możliwe zgodnie z art. 499 ustawy Kodeks cywilny,</w:t>
      </w:r>
    </w:p>
    <w:p w14:paraId="23D0A691" w14:textId="031E6366" w:rsidR="00CD2072" w:rsidRPr="00F204B6" w:rsidRDefault="00CD2072" w:rsidP="004B0F33">
      <w:pPr>
        <w:pStyle w:val="Akapitzlist"/>
        <w:numPr>
          <w:ilvl w:val="0"/>
          <w:numId w:val="9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 przypadku depozytu sądowego – datę faktycznego wniesienia depozytu do sądu,</w:t>
      </w:r>
    </w:p>
    <w:p w14:paraId="1692BFD3" w14:textId="3BE5FA70" w:rsidR="00CD2072" w:rsidRPr="00F204B6" w:rsidRDefault="00CD2072" w:rsidP="004B0F33">
      <w:pPr>
        <w:pStyle w:val="Akapitzlist"/>
        <w:numPr>
          <w:ilvl w:val="0"/>
          <w:numId w:val="9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 przypadku rozliczeń na podstawie noty księgowej – datę zaksięgowania noty.</w:t>
      </w:r>
    </w:p>
    <w:p w14:paraId="79EF3F47" w14:textId="7DC5DFA7" w:rsidR="00E322F8" w:rsidRPr="00F204B6" w:rsidRDefault="00CD2072" w:rsidP="004B0F33">
      <w:pPr>
        <w:pStyle w:val="Akapitzlist"/>
        <w:numPr>
          <w:ilvl w:val="0"/>
          <w:numId w:val="4"/>
        </w:numPr>
        <w:spacing w:after="120" w:line="360" w:lineRule="auto"/>
        <w:ind w:left="714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Warunki i procedury dokumentowania wydatków, o których mowa w pkt 2, oraz</w:t>
      </w:r>
      <w:r w:rsidR="008D22C8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innych rodzajów wydatków, o których nie ma mowy w </w:t>
      </w:r>
      <w:r w:rsidR="00D7776B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niniejszym dokumencie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, a które </w:t>
      </w:r>
      <w:r w:rsidR="0067139E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zostaną poniesione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w związku z realizowanymi w ramach </w:t>
      </w:r>
      <w:r w:rsidR="008D22C8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K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PO </w:t>
      </w:r>
      <w:r w:rsidR="00322A48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przedsięwzięciami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, określa </w:t>
      </w:r>
      <w:r w:rsidR="008D22C8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IOI</w:t>
      </w:r>
      <w:r w:rsidR="0067139E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w dokumentacji aplikacyjnej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.</w:t>
      </w:r>
    </w:p>
    <w:p w14:paraId="2D245A02" w14:textId="77777777" w:rsidR="007C177B" w:rsidRPr="00F204B6" w:rsidRDefault="007C177B" w:rsidP="007C177B">
      <w:pPr>
        <w:pStyle w:val="Nagwek2"/>
        <w:numPr>
          <w:ilvl w:val="0"/>
          <w:numId w:val="1"/>
        </w:numPr>
        <w:spacing w:before="0" w:after="120"/>
        <w:ind w:left="357" w:hanging="357"/>
        <w:rPr>
          <w:rFonts w:ascii="Lato" w:hAnsi="Lato" w:cstheme="minorHAnsi"/>
          <w:i w:val="0"/>
          <w:iCs/>
          <w:sz w:val="20"/>
          <w:szCs w:val="20"/>
        </w:rPr>
      </w:pPr>
      <w:r w:rsidRPr="00F204B6">
        <w:rPr>
          <w:rFonts w:ascii="Lato" w:hAnsi="Lato" w:cstheme="minorHAnsi"/>
          <w:i w:val="0"/>
          <w:iCs/>
          <w:sz w:val="20"/>
          <w:szCs w:val="20"/>
        </w:rPr>
        <w:t>Zasada konkurencyjności</w:t>
      </w:r>
    </w:p>
    <w:p w14:paraId="669DD0FF" w14:textId="593C145F" w:rsidR="007C177B" w:rsidRPr="00F204B6" w:rsidRDefault="006B48C1" w:rsidP="002E0A71">
      <w:pPr>
        <w:pStyle w:val="Akapitzlist"/>
        <w:numPr>
          <w:ilvl w:val="0"/>
          <w:numId w:val="19"/>
        </w:numPr>
        <w:spacing w:after="120" w:line="360" w:lineRule="auto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="007C177B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, ma obowiązek przygotowywać i przeprowadzać postępowania o udzielenie zamówienia w sposób zapewniający zachowanie uczciwej konkurencji oraz równe traktowanie wykonawców, a także realizować działania w sposób przejrzysty i proporcjonalny. </w:t>
      </w:r>
    </w:p>
    <w:p w14:paraId="4F67B169" w14:textId="77777777" w:rsidR="007C177B" w:rsidRPr="00F204B6" w:rsidRDefault="007C177B" w:rsidP="002E0A71">
      <w:pPr>
        <w:pStyle w:val="Akapitzlist"/>
        <w:numPr>
          <w:ilvl w:val="0"/>
          <w:numId w:val="19"/>
        </w:numPr>
        <w:spacing w:after="120" w:line="360" w:lineRule="auto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Przeprowadzenie postępowania o udzielenie zamówienia w sposób zapewniający spełnienie wymienionych powyżej wymogów następuje w drodze:</w:t>
      </w:r>
    </w:p>
    <w:p w14:paraId="580DDCC3" w14:textId="310180BE" w:rsidR="007C177B" w:rsidRPr="00F204B6" w:rsidRDefault="007C177B" w:rsidP="002E0A71">
      <w:pPr>
        <w:pStyle w:val="Akapitzlist"/>
        <w:numPr>
          <w:ilvl w:val="0"/>
          <w:numId w:val="20"/>
        </w:numPr>
        <w:spacing w:after="120" w:line="360" w:lineRule="auto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lastRenderedPageBreak/>
        <w:t xml:space="preserve">zastosowania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przepisów ustawy z dnia 11 września 2019 r. - Prawo zamówień publicznych (dalej: „ustawa P</w:t>
      </w:r>
      <w:r w:rsidR="00C21078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ZP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”), w przypadku, gdy wymóg jej stosowania wynika z ustawy P</w:t>
      </w:r>
      <w:r w:rsidR="00C21078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ZP</w:t>
      </w:r>
      <w:r w:rsidRPr="00F204B6">
        <w:rPr>
          <w:rStyle w:val="normaltextrun"/>
          <w:rFonts w:ascii="Lato" w:hAnsi="Lato" w:cstheme="minorHAnsi"/>
          <w:sz w:val="20"/>
          <w:szCs w:val="20"/>
        </w:rPr>
        <w:t>, lub</w:t>
      </w:r>
    </w:p>
    <w:p w14:paraId="26DB19F4" w14:textId="77777777" w:rsidR="007C177B" w:rsidRPr="00F204B6" w:rsidRDefault="007C177B" w:rsidP="002E0A71">
      <w:pPr>
        <w:pStyle w:val="Akapitzlist"/>
        <w:numPr>
          <w:ilvl w:val="0"/>
          <w:numId w:val="20"/>
        </w:numPr>
        <w:spacing w:after="120" w:line="360" w:lineRule="auto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>uwzględnienia zasady konkurencyjności, w przypadku, gdy:</w:t>
      </w:r>
    </w:p>
    <w:p w14:paraId="3E7F7BCF" w14:textId="74CA3031" w:rsidR="007C177B" w:rsidRPr="00F204B6" w:rsidRDefault="006B48C1" w:rsidP="002E0A71">
      <w:pPr>
        <w:pStyle w:val="Akapitzlist"/>
        <w:numPr>
          <w:ilvl w:val="0"/>
          <w:numId w:val="21"/>
        </w:numPr>
        <w:spacing w:after="120" w:line="360" w:lineRule="auto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="007C177B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nie jest zobowiązany do stosowania ustawy PZP a szacunkowa wartość zamówień przekracza </w:t>
      </w:r>
      <w:r w:rsidR="005D6230" w:rsidRPr="00293157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8</w:t>
      </w:r>
      <w:r w:rsidR="007C177B" w:rsidRPr="00293157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0 ty</w:t>
      </w:r>
      <w:r w:rsidR="007C177B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s. </w:t>
      </w:r>
      <w:r w:rsidR="00042A43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</w:t>
      </w:r>
      <w:r w:rsidR="00101291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ł </w:t>
      </w:r>
      <w:r w:rsidR="007C177B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netto</w:t>
      </w:r>
      <w:r w:rsidR="00293157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3BBD89B1" w14:textId="4D3A1C70" w:rsidR="007C177B" w:rsidRPr="00F204B6" w:rsidRDefault="006B48C1" w:rsidP="002E0A71">
      <w:pPr>
        <w:pStyle w:val="Akapitzlist"/>
        <w:numPr>
          <w:ilvl w:val="0"/>
          <w:numId w:val="21"/>
        </w:numPr>
        <w:spacing w:after="120" w:line="360" w:lineRule="auto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="007C177B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jest zamawiającym w rozumieniu ustawy P</w:t>
      </w:r>
      <w:r w:rsidR="00C21078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ZP</w:t>
      </w:r>
      <w:r w:rsidR="007C177B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, a szacunkowa wartość zamówień jest niższa niż kwoty określone w art. 2 ust. 1 ustawy P</w:t>
      </w:r>
      <w:r w:rsidR="00C21078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ZP</w:t>
      </w:r>
      <w:r w:rsidR="007C177B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, a jednocześnie przekraczają </w:t>
      </w:r>
      <w:r w:rsidR="00480C6B">
        <w:rPr>
          <w:rFonts w:ascii="Lato" w:eastAsiaTheme="majorEastAsia" w:hAnsi="Lato" w:cstheme="minorHAnsi"/>
          <w:iCs/>
          <w:kern w:val="32"/>
          <w:sz w:val="20"/>
          <w:szCs w:val="20"/>
        </w:rPr>
        <w:t>8</w:t>
      </w:r>
      <w:r w:rsidR="007C177B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0 tys.</w:t>
      </w:r>
      <w:r w:rsidR="00293157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zł</w:t>
      </w:r>
      <w:r w:rsidR="007C177B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netto.</w:t>
      </w:r>
    </w:p>
    <w:p w14:paraId="71582ECE" w14:textId="5D29B703" w:rsidR="007C177B" w:rsidRPr="00F204B6" w:rsidRDefault="007C177B" w:rsidP="002E0A71">
      <w:pPr>
        <w:pStyle w:val="Akapitzlist"/>
        <w:numPr>
          <w:ilvl w:val="0"/>
          <w:numId w:val="19"/>
        </w:numPr>
        <w:spacing w:after="120" w:line="360" w:lineRule="auto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Podstawą obliczenia szacunkowej kwoty zamówienia jest całkowite szacunkowe wynagrodzenie wykonawcy, bez podatku od towarów i usług, ustalone z należytą starannością i udokumentowane w sposób zapewniający właściwą ścieżkę audytu, z </w:t>
      </w:r>
      <w:r w:rsidR="008A367E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tym,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że podmioty będące zamawiającymi w rozumieniu ustawy P</w:t>
      </w:r>
      <w:r w:rsidR="00C21078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ZP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w pierwszej kolejności dokonują szacowania wartości zamówienia zgodnie z przepisami tej ustawy. Nie jest dopuszczalne zaniżanie wartości szacunkowej zamówienia lub jego podział skutkujący zaniżeniem jego wartości szacunkowej. Szacowanie jest dokumentowane w sposób zapewniający właściwą ścieżkę audytu</w:t>
      </w:r>
      <w:r w:rsidR="001000A7">
        <w:rPr>
          <w:rFonts w:ascii="Lato" w:eastAsiaTheme="majorEastAsia" w:hAnsi="Lato" w:cstheme="minorHAnsi"/>
          <w:iCs/>
          <w:kern w:val="32"/>
          <w:sz w:val="20"/>
          <w:szCs w:val="20"/>
        </w:rPr>
        <w:t>.</w:t>
      </w:r>
    </w:p>
    <w:p w14:paraId="5F087711" w14:textId="209D7E97" w:rsidR="007C177B" w:rsidRPr="00F204B6" w:rsidRDefault="007C177B" w:rsidP="002E0A71">
      <w:pPr>
        <w:pStyle w:val="Akapitzlist"/>
        <w:numPr>
          <w:ilvl w:val="0"/>
          <w:numId w:val="19"/>
        </w:numPr>
        <w:spacing w:after="120" w:line="360" w:lineRule="auto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Do zamieszczania zapytań ofertowych, składanie ofert, wymiany informacji między zamawiającym a wykonawcą, przekazywania dokumentów i oświadczeń  oraz komunikacji w postępowaniach przy zamówieniach, których wartość przekracza kwotę </w:t>
      </w:r>
      <w:r w:rsidR="00480C6B">
        <w:rPr>
          <w:rFonts w:ascii="Lato" w:eastAsiaTheme="majorEastAsia" w:hAnsi="Lato" w:cstheme="minorHAnsi"/>
          <w:iCs/>
          <w:kern w:val="32"/>
          <w:sz w:val="20"/>
          <w:szCs w:val="20"/>
        </w:rPr>
        <w:t>8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0 000 zł netto, zgodnie z zasadą konkurencyjności, przeznaczona jest strona internetowa prowadzona przez ministra właściwego do spraw rozwoju regionalnego, tj. Baza konkurencyjności (dalej: BK 2021), dostępna pod adresem </w:t>
      </w:r>
      <w:hyperlink r:id="rId8" w:history="1">
        <w:r w:rsidRPr="00F204B6">
          <w:rPr>
            <w:rStyle w:val="Hipercze"/>
            <w:rFonts w:ascii="Lato" w:eastAsiaTheme="majorEastAsia" w:hAnsi="Lato" w:cstheme="minorHAnsi"/>
            <w:iCs/>
            <w:kern w:val="32"/>
            <w:sz w:val="20"/>
            <w:szCs w:val="20"/>
          </w:rPr>
          <w:t>https://bazakonkurencyjnosci.funduszeeuropejskie.gov.pl/</w:t>
        </w:r>
      </w:hyperlink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.</w:t>
      </w:r>
    </w:p>
    <w:p w14:paraId="62CCA61C" w14:textId="423775B8" w:rsidR="007C177B" w:rsidRPr="00F204B6" w:rsidRDefault="007C177B" w:rsidP="002E0A71">
      <w:pPr>
        <w:pStyle w:val="Akapitzlist"/>
        <w:numPr>
          <w:ilvl w:val="0"/>
          <w:numId w:val="19"/>
        </w:numPr>
        <w:spacing w:after="120" w:line="360" w:lineRule="auto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W przypadku przedsięwzięć realizowanych w ramach KPO, w celu opublikowania ogłoszenia w BK 2021, należy wpisać</w:t>
      </w:r>
      <w:r w:rsidR="00287312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: </w:t>
      </w:r>
      <w:proofErr w:type="spellStart"/>
      <w:r w:rsidR="00287312" w:rsidRPr="006D36C3">
        <w:rPr>
          <w:rFonts w:ascii="Lato" w:eastAsiaTheme="majorEastAsia" w:hAnsi="Lato" w:cstheme="minorHAnsi"/>
          <w:iCs/>
          <w:kern w:val="32"/>
          <w:sz w:val="20"/>
          <w:szCs w:val="20"/>
        </w:rPr>
        <w:t>KPOD.07.02</w:t>
      </w:r>
      <w:proofErr w:type="spellEnd"/>
      <w:r w:rsidR="00287312" w:rsidRPr="006D36C3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, </w:t>
      </w:r>
      <w:proofErr w:type="spellStart"/>
      <w:r w:rsidR="00287312" w:rsidRPr="006D36C3">
        <w:rPr>
          <w:rFonts w:ascii="Lato" w:eastAsiaTheme="majorEastAsia" w:hAnsi="Lato" w:cstheme="minorHAnsi"/>
          <w:iCs/>
          <w:kern w:val="32"/>
          <w:sz w:val="20"/>
          <w:szCs w:val="20"/>
        </w:rPr>
        <w:t>IP.10</w:t>
      </w:r>
      <w:proofErr w:type="spellEnd"/>
      <w:r w:rsidR="00287312" w:rsidRPr="006D36C3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- Ministerstwo Zdrowia – </w:t>
      </w:r>
      <w:proofErr w:type="spellStart"/>
      <w:r w:rsidR="00287312" w:rsidRPr="006D36C3">
        <w:rPr>
          <w:rFonts w:ascii="Lato" w:eastAsiaTheme="majorEastAsia" w:hAnsi="Lato" w:cstheme="minorHAnsi"/>
          <w:iCs/>
          <w:kern w:val="32"/>
          <w:sz w:val="20"/>
          <w:szCs w:val="20"/>
        </w:rPr>
        <w:t>KP</w:t>
      </w:r>
      <w:r w:rsidR="00287312" w:rsidRPr="00287312">
        <w:rPr>
          <w:rFonts w:ascii="Lato" w:eastAsiaTheme="majorEastAsia" w:hAnsi="Lato" w:cstheme="minorHAnsi"/>
          <w:iCs/>
          <w:kern w:val="32"/>
          <w:sz w:val="20"/>
          <w:szCs w:val="20"/>
        </w:rPr>
        <w:t>O</w:t>
      </w:r>
      <w:proofErr w:type="spellEnd"/>
      <w:r w:rsidRPr="00287312">
        <w:rPr>
          <w:rFonts w:ascii="Lato" w:eastAsiaTheme="majorEastAsia" w:hAnsi="Lato" w:cstheme="minorHAnsi"/>
          <w:iCs/>
          <w:kern w:val="32"/>
          <w:sz w:val="20"/>
          <w:szCs w:val="20"/>
        </w:rPr>
        <w:t>, a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w </w:t>
      </w:r>
      <w:r w:rsidR="008A367E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tytule naboru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- właściwy numer i tytuł swojego projektu, przydzielony w systemie CST2021. </w:t>
      </w:r>
    </w:p>
    <w:p w14:paraId="600D5F54" w14:textId="1895DA05" w:rsidR="007C177B" w:rsidRPr="00F204B6" w:rsidRDefault="007C177B" w:rsidP="002E0A71">
      <w:pPr>
        <w:pStyle w:val="Akapitzlist"/>
        <w:numPr>
          <w:ilvl w:val="0"/>
          <w:numId w:val="19"/>
        </w:numPr>
        <w:spacing w:after="120" w:line="360" w:lineRule="auto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Jeżeli w wyniku prawidłowego zastosowania zasady konkurencyjności nie wpłynęła żadna </w:t>
      </w:r>
      <w:r w:rsidR="008A367E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oferta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lub wpłynęły jedynie oferty podlegające odrzuceniu, albo żaden wykonawca nie spełnił warunków udziału w postępowaniu, o ile zamawiający stawiał takie warunki wykonawcom, zawarcie umowy w sprawie realizacji zamówienia z pominięciem zasady konkurencyjności jest możliwe, gdy pierwotne warunki zamówienia nie zostały zmienione.</w:t>
      </w:r>
    </w:p>
    <w:p w14:paraId="7C0F0D94" w14:textId="2D7D7283" w:rsidR="007C177B" w:rsidRPr="00F204B6" w:rsidRDefault="007C177B" w:rsidP="002E0A71">
      <w:pPr>
        <w:pStyle w:val="Akapitzlist"/>
        <w:numPr>
          <w:ilvl w:val="0"/>
          <w:numId w:val="19"/>
        </w:numPr>
        <w:spacing w:after="120" w:line="360" w:lineRule="auto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W przypadku zamówień o wartości mniejszej bądź równej </w:t>
      </w:r>
      <w:r w:rsidR="00480C6B">
        <w:rPr>
          <w:rFonts w:ascii="Lato" w:eastAsiaTheme="majorEastAsia" w:hAnsi="Lato" w:cstheme="minorHAnsi"/>
          <w:iCs/>
          <w:kern w:val="32"/>
          <w:sz w:val="20"/>
          <w:szCs w:val="20"/>
        </w:rPr>
        <w:t>8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0 tys. </w:t>
      </w:r>
      <w:r w:rsidR="00042A43">
        <w:rPr>
          <w:rFonts w:ascii="Lato" w:eastAsiaTheme="majorEastAsia" w:hAnsi="Lato" w:cstheme="minorHAnsi"/>
          <w:iCs/>
          <w:kern w:val="32"/>
          <w:sz w:val="20"/>
          <w:szCs w:val="20"/>
        </w:rPr>
        <w:t>zł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netto, </w:t>
      </w:r>
      <w:r w:rsidR="006B48C1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dokonuje rozeznania rynku, w celu potwierdzenie, że dana usługa, dostawa lub robota budowlana zosta</w:t>
      </w:r>
      <w:r w:rsidR="00F43B2C">
        <w:rPr>
          <w:rFonts w:ascii="Lato" w:eastAsiaTheme="majorEastAsia" w:hAnsi="Lato" w:cstheme="minorHAnsi"/>
          <w:iCs/>
          <w:kern w:val="32"/>
          <w:sz w:val="20"/>
          <w:szCs w:val="20"/>
        </w:rPr>
        <w:t>nie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wykonana po cenie rynkowej. W celu potwierdzenia przeprowadzenia rozeznania rynku </w:t>
      </w:r>
      <w:r w:rsidR="006B48C1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dokumentuje, np. dokonanie analizy cenników potencjalnych wykonawców zamówienia, publikację opisu przedmiotu zamówienia wraz z zapytaniem o cenę na stronie internetowej </w:t>
      </w:r>
      <w:r w:rsidR="006B48C1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lub skierowanie zapytań o cenę wraz z opisem przedmiotu zamówienia do potencjalnych wykonawców.</w:t>
      </w:r>
    </w:p>
    <w:p w14:paraId="6888CE77" w14:textId="3B5806A6" w:rsidR="007C177B" w:rsidRPr="009A3ECE" w:rsidRDefault="007C177B" w:rsidP="002E0A71">
      <w:pPr>
        <w:pStyle w:val="Akapitzlist"/>
        <w:numPr>
          <w:ilvl w:val="0"/>
          <w:numId w:val="19"/>
        </w:numPr>
        <w:spacing w:after="120" w:line="360" w:lineRule="auto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Zasady konkurencyjności, w tym rozeznania rynku nie stosuje się do kosztów pośrednich, o których mowa w </w:t>
      </w:r>
      <w:r w:rsidRPr="009A3ECE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Rozdziale 2 część B poniżej. </w:t>
      </w:r>
    </w:p>
    <w:p w14:paraId="2DE7AE1E" w14:textId="11DD5217" w:rsidR="00E322F8" w:rsidRPr="009A3ECE" w:rsidRDefault="00182594" w:rsidP="00AE6B06">
      <w:pPr>
        <w:pStyle w:val="Nagwek2"/>
        <w:spacing w:after="120"/>
        <w:jc w:val="center"/>
        <w:rPr>
          <w:rFonts w:ascii="Lato" w:eastAsia="Times New Roman" w:hAnsi="Lato" w:cstheme="minorHAnsi"/>
          <w:i w:val="0"/>
          <w:sz w:val="20"/>
          <w:szCs w:val="20"/>
          <w:lang w:eastAsia="pl-PL"/>
        </w:rPr>
      </w:pPr>
      <w:r w:rsidRPr="009A3ECE">
        <w:rPr>
          <w:rFonts w:ascii="Lato" w:eastAsia="Times New Roman" w:hAnsi="Lato" w:cstheme="minorHAnsi"/>
          <w:i w:val="0"/>
          <w:sz w:val="20"/>
          <w:szCs w:val="20"/>
          <w:lang w:eastAsia="pl-PL"/>
        </w:rPr>
        <w:lastRenderedPageBreak/>
        <w:t xml:space="preserve">Rozdział 2 </w:t>
      </w:r>
      <w:r w:rsidR="00E322F8" w:rsidRPr="009A3ECE">
        <w:rPr>
          <w:rFonts w:ascii="Lato" w:eastAsia="Times New Roman" w:hAnsi="Lato" w:cstheme="minorHAnsi"/>
          <w:i w:val="0"/>
          <w:sz w:val="20"/>
          <w:szCs w:val="20"/>
          <w:lang w:eastAsia="pl-PL"/>
        </w:rPr>
        <w:t>Szczegółowe zasady kwalifikowalności wydatków</w:t>
      </w:r>
    </w:p>
    <w:p w14:paraId="18F3C831" w14:textId="0DD6E4A5" w:rsidR="00C74196" w:rsidRPr="009A3ECE" w:rsidRDefault="00A91C36" w:rsidP="00C74196">
      <w:pPr>
        <w:pStyle w:val="Akapitzlist"/>
        <w:widowControl w:val="0"/>
        <w:tabs>
          <w:tab w:val="left" w:pos="514"/>
        </w:tabs>
        <w:autoSpaceDE w:val="0"/>
        <w:autoSpaceDN w:val="0"/>
        <w:spacing w:before="239" w:after="0" w:line="360" w:lineRule="auto"/>
        <w:ind w:left="514" w:right="290"/>
        <w:contextualSpacing w:val="0"/>
        <w:rPr>
          <w:rFonts w:ascii="Lato" w:eastAsiaTheme="minorEastAsia" w:hAnsi="Lato" w:cs="Arial"/>
          <w:sz w:val="20"/>
          <w:szCs w:val="20"/>
          <w:lang w:eastAsia="pl-PL"/>
        </w:rPr>
      </w:pPr>
      <w:r w:rsidRPr="009A3ECE">
        <w:rPr>
          <w:rFonts w:ascii="Lato" w:eastAsiaTheme="majorEastAsia" w:hAnsi="Lato" w:cstheme="minorHAnsi"/>
          <w:iCs/>
          <w:kern w:val="32"/>
          <w:sz w:val="20"/>
          <w:szCs w:val="20"/>
        </w:rPr>
        <w:t>Poniższe r</w:t>
      </w:r>
      <w:r w:rsidR="00B96311" w:rsidRPr="009A3ECE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egulacje obowiązują dla </w:t>
      </w:r>
      <w:r w:rsidRPr="009A3ECE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przedsięwzięć </w:t>
      </w:r>
      <w:r w:rsidR="00C84551" w:rsidRPr="009A3ECE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mających na celu </w:t>
      </w:r>
      <w:r w:rsidR="00EF3ED3" w:rsidRPr="009A3ECE">
        <w:rPr>
          <w:rFonts w:ascii="Lato" w:eastAsiaTheme="majorEastAsia" w:hAnsi="Lato" w:cstheme="minorHAnsi"/>
          <w:iCs/>
          <w:kern w:val="32"/>
          <w:sz w:val="20"/>
          <w:szCs w:val="20"/>
        </w:rPr>
        <w:t>poprawę dostępu oraz jakości</w:t>
      </w:r>
      <w:r w:rsidR="009B4504" w:rsidRPr="009A3ECE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opieki </w:t>
      </w:r>
      <w:r w:rsidR="006557F4" w:rsidRPr="009A3ECE">
        <w:rPr>
          <w:rFonts w:ascii="Lato" w:eastAsiaTheme="majorEastAsia" w:hAnsi="Lato" w:cstheme="minorHAnsi"/>
          <w:iCs/>
          <w:kern w:val="32"/>
          <w:sz w:val="20"/>
          <w:szCs w:val="20"/>
        </w:rPr>
        <w:t>kardiologicznej</w:t>
      </w:r>
      <w:r w:rsidR="009B4504" w:rsidRPr="009A3ECE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poprzez</w:t>
      </w:r>
      <w:r w:rsidR="00247F86" w:rsidRPr="009A3ECE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E434A3" w:rsidRPr="009A3ECE">
        <w:rPr>
          <w:rFonts w:ascii="Lato" w:eastAsiaTheme="majorEastAsia" w:hAnsi="Lato" w:cstheme="minorHAnsi"/>
          <w:iCs/>
          <w:kern w:val="32"/>
          <w:sz w:val="20"/>
          <w:szCs w:val="20"/>
        </w:rPr>
        <w:t>działania polegające na rozwoju i modernizacji infrastruktury szpitali</w:t>
      </w:r>
      <w:r w:rsidR="00C74196" w:rsidRPr="009A3ECE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C74196" w:rsidRPr="009A3ECE">
        <w:rPr>
          <w:rFonts w:ascii="Lato" w:eastAsiaTheme="minorEastAsia" w:hAnsi="Lato" w:cs="Arial"/>
          <w:sz w:val="20"/>
          <w:szCs w:val="20"/>
          <w:lang w:eastAsia="pl-PL"/>
        </w:rPr>
        <w:t>zakwalifikowanych na drugi lub trzeci poziom zabezpieczenia opieki kardiologicznej</w:t>
      </w:r>
      <w:r w:rsidR="00C74196" w:rsidRPr="009A3ECE">
        <w:rPr>
          <w:rFonts w:ascii="Lato" w:hAnsi="Lato" w:cs="Times New Roman"/>
          <w:sz w:val="20"/>
          <w:szCs w:val="20"/>
        </w:rPr>
        <w:t xml:space="preserve"> Krajowej</w:t>
      </w:r>
      <w:r w:rsidR="00C74196" w:rsidRPr="009A3ECE">
        <w:rPr>
          <w:rFonts w:ascii="Lato" w:hAnsi="Lato" w:cs="Times New Roman"/>
          <w:spacing w:val="-2"/>
          <w:sz w:val="20"/>
          <w:szCs w:val="20"/>
        </w:rPr>
        <w:t xml:space="preserve"> </w:t>
      </w:r>
      <w:r w:rsidR="00C74196" w:rsidRPr="009A3ECE">
        <w:rPr>
          <w:rFonts w:ascii="Lato" w:hAnsi="Lato" w:cs="Times New Roman"/>
          <w:sz w:val="20"/>
          <w:szCs w:val="20"/>
        </w:rPr>
        <w:t>Sieci Kardiologicznej,</w:t>
      </w:r>
      <w:r w:rsidR="00C74196" w:rsidRPr="009A3ECE">
        <w:rPr>
          <w:rFonts w:ascii="Lato" w:hAnsi="Lato" w:cs="Times New Roman"/>
          <w:spacing w:val="-1"/>
          <w:sz w:val="20"/>
          <w:szCs w:val="20"/>
        </w:rPr>
        <w:t xml:space="preserve"> </w:t>
      </w:r>
      <w:r w:rsidR="00C74196" w:rsidRPr="009A3ECE">
        <w:rPr>
          <w:rFonts w:ascii="Lato" w:hAnsi="Lato" w:cs="Times New Roman"/>
          <w:sz w:val="20"/>
          <w:szCs w:val="20"/>
        </w:rPr>
        <w:t>które</w:t>
      </w:r>
      <w:r w:rsidR="00C74196" w:rsidRPr="009A3ECE">
        <w:rPr>
          <w:rFonts w:ascii="Lato" w:hAnsi="Lato" w:cs="Times New Roman"/>
          <w:spacing w:val="-1"/>
          <w:sz w:val="20"/>
          <w:szCs w:val="20"/>
        </w:rPr>
        <w:t xml:space="preserve"> </w:t>
      </w:r>
      <w:r w:rsidR="00C74196" w:rsidRPr="009A3ECE">
        <w:rPr>
          <w:rFonts w:ascii="Lato" w:hAnsi="Lato" w:cs="Times New Roman"/>
          <w:sz w:val="20"/>
          <w:szCs w:val="20"/>
        </w:rPr>
        <w:t>wpisują</w:t>
      </w:r>
      <w:r w:rsidR="00C74196" w:rsidRPr="009A3ECE">
        <w:rPr>
          <w:rFonts w:ascii="Lato" w:hAnsi="Lato" w:cs="Times New Roman"/>
          <w:spacing w:val="-1"/>
          <w:sz w:val="20"/>
          <w:szCs w:val="20"/>
        </w:rPr>
        <w:t xml:space="preserve"> </w:t>
      </w:r>
      <w:r w:rsidR="00C74196" w:rsidRPr="009A3ECE">
        <w:rPr>
          <w:rFonts w:ascii="Lato" w:hAnsi="Lato" w:cs="Times New Roman"/>
          <w:sz w:val="20"/>
          <w:szCs w:val="20"/>
        </w:rPr>
        <w:t xml:space="preserve">się </w:t>
      </w:r>
      <w:r w:rsidR="00C74196" w:rsidRPr="009A3ECE">
        <w:rPr>
          <w:rFonts w:ascii="Lato" w:hAnsi="Lato" w:cs="Times New Roman"/>
          <w:spacing w:val="-2"/>
          <w:sz w:val="20"/>
          <w:szCs w:val="20"/>
        </w:rPr>
        <w:t>w</w:t>
      </w:r>
      <w:r w:rsidR="00C74196" w:rsidRPr="009A3ECE">
        <w:rPr>
          <w:rFonts w:ascii="Lato" w:hAnsi="Lato" w:cs="Times New Roman"/>
          <w:spacing w:val="-18"/>
          <w:sz w:val="20"/>
          <w:szCs w:val="20"/>
        </w:rPr>
        <w:t xml:space="preserve"> </w:t>
      </w:r>
      <w:r w:rsidR="00C74196" w:rsidRPr="009A3ECE">
        <w:rPr>
          <w:rFonts w:ascii="Lato" w:hAnsi="Lato" w:cs="Times New Roman"/>
          <w:spacing w:val="-2"/>
          <w:sz w:val="20"/>
          <w:szCs w:val="20"/>
        </w:rPr>
        <w:t>następujące</w:t>
      </w:r>
      <w:r w:rsidR="00C74196" w:rsidRPr="009A3ECE">
        <w:rPr>
          <w:rFonts w:ascii="Lato" w:hAnsi="Lato" w:cs="Times New Roman"/>
          <w:spacing w:val="-17"/>
          <w:sz w:val="20"/>
          <w:szCs w:val="20"/>
        </w:rPr>
        <w:t xml:space="preserve"> </w:t>
      </w:r>
      <w:r w:rsidR="00C74196" w:rsidRPr="009A3ECE">
        <w:rPr>
          <w:rFonts w:ascii="Lato" w:hAnsi="Lato" w:cs="Times New Roman"/>
          <w:spacing w:val="-2"/>
          <w:sz w:val="20"/>
          <w:szCs w:val="20"/>
        </w:rPr>
        <w:t>obszary:</w:t>
      </w:r>
    </w:p>
    <w:p w14:paraId="5B53C09D" w14:textId="1E7BAE0C" w:rsidR="00C74196" w:rsidRPr="009A3ECE" w:rsidRDefault="00C74196" w:rsidP="001D3D91">
      <w:pPr>
        <w:pStyle w:val="Akapitzlist"/>
        <w:widowControl w:val="0"/>
        <w:numPr>
          <w:ilvl w:val="1"/>
          <w:numId w:val="35"/>
        </w:numPr>
        <w:tabs>
          <w:tab w:val="left" w:pos="796"/>
        </w:tabs>
        <w:autoSpaceDE w:val="0"/>
        <w:autoSpaceDN w:val="0"/>
        <w:spacing w:before="118" w:after="0" w:line="360" w:lineRule="auto"/>
        <w:ind w:left="796" w:hanging="359"/>
        <w:contextualSpacing w:val="0"/>
        <w:rPr>
          <w:rFonts w:ascii="Lato" w:hAnsi="Lato" w:cs="Times New Roman"/>
          <w:sz w:val="20"/>
          <w:szCs w:val="20"/>
        </w:rPr>
      </w:pPr>
      <w:r w:rsidRPr="009A3ECE">
        <w:rPr>
          <w:rFonts w:ascii="Lato" w:hAnsi="Lato" w:cs="Times New Roman"/>
          <w:sz w:val="20"/>
          <w:szCs w:val="20"/>
        </w:rPr>
        <w:t>zakup</w:t>
      </w:r>
      <w:r w:rsidRPr="009A3ECE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9A3ECE">
        <w:rPr>
          <w:rFonts w:ascii="Lato" w:hAnsi="Lato" w:cs="Times New Roman"/>
          <w:sz w:val="20"/>
          <w:szCs w:val="20"/>
        </w:rPr>
        <w:t>lub</w:t>
      </w:r>
      <w:r w:rsidR="003D66C7">
        <w:rPr>
          <w:rFonts w:ascii="Lato" w:hAnsi="Lato" w:cs="Times New Roman"/>
          <w:sz w:val="20"/>
          <w:szCs w:val="20"/>
        </w:rPr>
        <w:t xml:space="preserve"> </w:t>
      </w:r>
      <w:r w:rsidRPr="009A3ECE">
        <w:rPr>
          <w:rFonts w:ascii="Lato" w:hAnsi="Lato" w:cs="Times New Roman"/>
          <w:sz w:val="20"/>
          <w:szCs w:val="20"/>
        </w:rPr>
        <w:t>modernizacja</w:t>
      </w:r>
      <w:r w:rsidRPr="009A3ECE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9A3ECE">
        <w:rPr>
          <w:rFonts w:ascii="Lato" w:hAnsi="Lato" w:cs="Times New Roman"/>
          <w:sz w:val="20"/>
          <w:szCs w:val="20"/>
        </w:rPr>
        <w:t>urządzeń</w:t>
      </w:r>
      <w:r w:rsidRPr="009A3ECE">
        <w:rPr>
          <w:rFonts w:ascii="Lato" w:hAnsi="Lato" w:cs="Times New Roman"/>
          <w:spacing w:val="-19"/>
          <w:sz w:val="20"/>
          <w:szCs w:val="20"/>
        </w:rPr>
        <w:t xml:space="preserve"> </w:t>
      </w:r>
      <w:proofErr w:type="gramStart"/>
      <w:r w:rsidR="005D52D9" w:rsidRPr="009A3ECE">
        <w:rPr>
          <w:rFonts w:ascii="Lato" w:hAnsi="Lato" w:cs="Times New Roman"/>
          <w:spacing w:val="-19"/>
          <w:sz w:val="20"/>
          <w:szCs w:val="20"/>
        </w:rPr>
        <w:t>lub</w:t>
      </w:r>
      <w:r w:rsidR="003D66C7">
        <w:rPr>
          <w:rFonts w:ascii="Lato" w:hAnsi="Lato" w:cs="Times New Roman"/>
          <w:spacing w:val="-19"/>
          <w:sz w:val="20"/>
          <w:szCs w:val="20"/>
        </w:rPr>
        <w:t xml:space="preserve"> </w:t>
      </w:r>
      <w:r w:rsidR="003D66C7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9A3ECE">
        <w:rPr>
          <w:rFonts w:ascii="Lato" w:hAnsi="Lato" w:cs="Times New Roman"/>
          <w:sz w:val="20"/>
          <w:szCs w:val="20"/>
        </w:rPr>
        <w:t>wyrobów</w:t>
      </w:r>
      <w:proofErr w:type="gramEnd"/>
      <w:r w:rsidRPr="009A3ECE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9A3ECE">
        <w:rPr>
          <w:rFonts w:ascii="Lato" w:hAnsi="Lato" w:cs="Times New Roman"/>
          <w:sz w:val="20"/>
          <w:szCs w:val="20"/>
        </w:rPr>
        <w:t>medycznych</w:t>
      </w:r>
      <w:r w:rsidRPr="009A3ECE">
        <w:t xml:space="preserve"> </w:t>
      </w:r>
      <w:r w:rsidRPr="009A3ECE">
        <w:rPr>
          <w:rFonts w:ascii="Lato" w:hAnsi="Lato" w:cs="Times New Roman"/>
          <w:sz w:val="20"/>
          <w:szCs w:val="20"/>
        </w:rPr>
        <w:t>niezbędnych do sprawowania opieki kardiologicznej w rozumieniu ustawy z dnia 4 czerwca 2025 r. o Krajowej Sieci Kardiologicznej w komórkach organizacyjnych znajdujących się w strukturze zakładu leczniczego:</w:t>
      </w:r>
    </w:p>
    <w:p w14:paraId="37112572" w14:textId="080E482A" w:rsidR="00C74196" w:rsidRPr="009A3ECE" w:rsidRDefault="00C74196" w:rsidP="001D3D91">
      <w:pPr>
        <w:pStyle w:val="Akapitzlist"/>
        <w:tabs>
          <w:tab w:val="left" w:pos="796"/>
        </w:tabs>
        <w:spacing w:before="118" w:line="360" w:lineRule="auto"/>
        <w:ind w:left="796"/>
        <w:rPr>
          <w:rFonts w:ascii="Lato" w:hAnsi="Lato" w:cs="Times New Roman"/>
          <w:sz w:val="20"/>
          <w:szCs w:val="20"/>
        </w:rPr>
      </w:pPr>
      <w:r w:rsidRPr="009A3ECE">
        <w:rPr>
          <w:rFonts w:ascii="Lato" w:hAnsi="Lato" w:cs="Times New Roman"/>
          <w:sz w:val="20"/>
          <w:szCs w:val="20"/>
        </w:rPr>
        <w:t>lub</w:t>
      </w:r>
    </w:p>
    <w:p w14:paraId="593D9116" w14:textId="59E2F408" w:rsidR="00FF77EF" w:rsidRPr="009A3ECE" w:rsidRDefault="00C74196" w:rsidP="001D3D91">
      <w:pPr>
        <w:pStyle w:val="Akapitzlist"/>
        <w:numPr>
          <w:ilvl w:val="1"/>
          <w:numId w:val="35"/>
        </w:numPr>
        <w:spacing w:line="360" w:lineRule="auto"/>
        <w:rPr>
          <w:rFonts w:eastAsiaTheme="majorEastAsia" w:cstheme="minorHAnsi"/>
          <w:iCs/>
          <w:kern w:val="32"/>
        </w:rPr>
      </w:pPr>
      <w:r w:rsidRPr="009A3ECE">
        <w:rPr>
          <w:rFonts w:ascii="Lato" w:hAnsi="Lato" w:cs="Times New Roman"/>
          <w:sz w:val="20"/>
          <w:szCs w:val="20"/>
        </w:rPr>
        <w:t>inwestycje w infrastrukturę szpitali polegające na jej dostosowaniu do warunków określonych w Rozporządzeniu Ministra Zdrowia z dnia 26 marca 2019 r. w sprawie szczegółowych wymagań, jakim powinny odpowiadać pomieszczenia i urządzenia podmiotu wykonującego działalność leczniczą (Dz.U z 2022 r. poz.</w:t>
      </w:r>
      <w:r w:rsidR="009A3ECE">
        <w:rPr>
          <w:rFonts w:ascii="Lato" w:hAnsi="Lato" w:cs="Times New Roman"/>
          <w:sz w:val="20"/>
          <w:szCs w:val="20"/>
        </w:rPr>
        <w:t xml:space="preserve"> </w:t>
      </w:r>
      <w:r w:rsidRPr="009A3ECE">
        <w:rPr>
          <w:rFonts w:ascii="Lato" w:hAnsi="Lato" w:cs="Times New Roman"/>
          <w:sz w:val="20"/>
          <w:szCs w:val="20"/>
        </w:rPr>
        <w:t>402) niezbędnych do sprawowania opieki kardiologicznej w rozumieniu ustawy z dnia 4 czerwca 2025 r. o Krajowej Sieci Kardiologicznej  w komórkach organizacyjnych znajdujących się w strukturze zakładu leczniczego</w:t>
      </w:r>
      <w:r w:rsidR="003E062D" w:rsidRPr="009A3ECE">
        <w:rPr>
          <w:rFonts w:eastAsiaTheme="majorEastAsia" w:cstheme="minorHAnsi"/>
          <w:iCs/>
          <w:kern w:val="32"/>
        </w:rPr>
        <w:t>.</w:t>
      </w:r>
    </w:p>
    <w:p w14:paraId="6CEA1BDE" w14:textId="29F3ECD5" w:rsidR="00E434A3" w:rsidRPr="00F204B6" w:rsidRDefault="00E434A3" w:rsidP="00FF77EF">
      <w:pPr>
        <w:pStyle w:val="Akapitzlist"/>
        <w:spacing w:after="120" w:line="360" w:lineRule="auto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</w:p>
    <w:p w14:paraId="781E0BFD" w14:textId="66D952A4" w:rsidR="00453641" w:rsidRPr="00F204B6" w:rsidRDefault="00453641" w:rsidP="004B0F33">
      <w:pPr>
        <w:pStyle w:val="Nagwek2"/>
        <w:numPr>
          <w:ilvl w:val="0"/>
          <w:numId w:val="14"/>
        </w:numPr>
        <w:spacing w:before="0" w:after="120"/>
        <w:ind w:left="357" w:hanging="357"/>
        <w:rPr>
          <w:rFonts w:ascii="Lato" w:hAnsi="Lato" w:cstheme="minorHAnsi"/>
          <w:i w:val="0"/>
          <w:iCs/>
          <w:sz w:val="20"/>
          <w:szCs w:val="20"/>
        </w:rPr>
      </w:pPr>
      <w:r w:rsidRPr="00F204B6">
        <w:rPr>
          <w:rFonts w:ascii="Lato" w:hAnsi="Lato" w:cstheme="minorHAnsi"/>
          <w:i w:val="0"/>
          <w:iCs/>
          <w:sz w:val="20"/>
          <w:szCs w:val="20"/>
        </w:rPr>
        <w:t xml:space="preserve">KOSZTY BEZPOŚREDNIE - </w:t>
      </w:r>
      <w:r w:rsidR="009D6A4B" w:rsidRPr="00F204B6">
        <w:rPr>
          <w:rFonts w:ascii="Lato" w:hAnsi="Lato" w:cstheme="minorHAnsi"/>
          <w:i w:val="0"/>
          <w:iCs/>
          <w:sz w:val="20"/>
          <w:szCs w:val="20"/>
        </w:rPr>
        <w:t xml:space="preserve">koszty bezpośrednio związane z realizacją przedsięwzięcia i osiągnięciem głównego celu </w:t>
      </w:r>
    </w:p>
    <w:p w14:paraId="79569AF5" w14:textId="77777777" w:rsidR="00777775" w:rsidRPr="00F204B6" w:rsidRDefault="00777775" w:rsidP="004B0F33">
      <w:pPr>
        <w:pStyle w:val="Nagwek2"/>
        <w:numPr>
          <w:ilvl w:val="0"/>
          <w:numId w:val="11"/>
        </w:numPr>
        <w:spacing w:before="0" w:after="120"/>
        <w:ind w:left="357" w:hanging="357"/>
        <w:rPr>
          <w:rFonts w:ascii="Lato" w:hAnsi="Lato" w:cstheme="minorHAnsi"/>
          <w:i w:val="0"/>
          <w:iCs/>
          <w:sz w:val="20"/>
          <w:szCs w:val="20"/>
        </w:rPr>
      </w:pPr>
      <w:r w:rsidRPr="00F204B6">
        <w:rPr>
          <w:rFonts w:ascii="Lato" w:hAnsi="Lato" w:cstheme="minorHAnsi"/>
          <w:i w:val="0"/>
          <w:iCs/>
          <w:sz w:val="20"/>
          <w:szCs w:val="20"/>
        </w:rPr>
        <w:t>Roboty budowlane</w:t>
      </w:r>
    </w:p>
    <w:p w14:paraId="313DE27E" w14:textId="0A36C957" w:rsidR="00777775" w:rsidRPr="00F204B6" w:rsidRDefault="00777775" w:rsidP="00AE6B06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Za kwalifikowalne mogą zostać uznane wydatki </w:t>
      </w:r>
      <w:r w:rsidR="00BE022F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związane z modernizacją infrastruktury budowlanej szpitali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. Zakres </w:t>
      </w:r>
      <w:r w:rsidR="00BE022F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modernizacji infrastruktury budowlanej</w:t>
      </w:r>
      <w:r w:rsidR="009430CA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może obejmować</w:t>
      </w:r>
      <w:r w:rsidR="00A310F5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:</w:t>
      </w:r>
      <w:r w:rsidR="009430CA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</w:p>
    <w:p w14:paraId="7575C5AF" w14:textId="1BEDDF0D" w:rsidR="00BE022F" w:rsidRPr="002E0A71" w:rsidRDefault="00BE022F" w:rsidP="00BE022F">
      <w:pPr>
        <w:pStyle w:val="Akapitzlist"/>
        <w:numPr>
          <w:ilvl w:val="0"/>
          <w:numId w:val="12"/>
        </w:numPr>
        <w:spacing w:after="120" w:line="360" w:lineRule="auto"/>
        <w:ind w:left="714" w:hanging="357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bookmarkStart w:id="10" w:name="_Toc86258794"/>
      <w:r w:rsidRPr="00705468">
        <w:rPr>
          <w:rFonts w:ascii="Lato" w:hAnsi="Lato" w:cstheme="minorHAnsi"/>
          <w:sz w:val="20"/>
          <w:szCs w:val="20"/>
        </w:rPr>
        <w:t>wykonywanie ro</w:t>
      </w:r>
      <w:r w:rsidRPr="002E0A71">
        <w:rPr>
          <w:rFonts w:ascii="Lato" w:hAnsi="Lato" w:cstheme="minorHAnsi"/>
          <w:sz w:val="20"/>
          <w:szCs w:val="20"/>
        </w:rPr>
        <w:t xml:space="preserve">bót budowlanych takich </w:t>
      </w:r>
      <w:r w:rsidR="008A4735" w:rsidRPr="002E0A71">
        <w:rPr>
          <w:rFonts w:ascii="Lato" w:hAnsi="Lato" w:cstheme="minorHAnsi"/>
          <w:sz w:val="20"/>
          <w:szCs w:val="20"/>
        </w:rPr>
        <w:t>jak remont</w:t>
      </w:r>
      <w:r w:rsidRPr="002E0A71">
        <w:rPr>
          <w:rFonts w:ascii="Lato" w:hAnsi="Lato" w:cstheme="minorHAnsi"/>
          <w:sz w:val="20"/>
          <w:szCs w:val="20"/>
        </w:rPr>
        <w:t xml:space="preserve"> oraz </w:t>
      </w:r>
      <w:bookmarkStart w:id="11" w:name="_Hlk148092968"/>
      <w:bookmarkStart w:id="12" w:name="_Hlk148092899"/>
      <w:r w:rsidRPr="002E0A71">
        <w:rPr>
          <w:rFonts w:ascii="Lato" w:hAnsi="Lato" w:cstheme="minorHAnsi"/>
          <w:sz w:val="20"/>
          <w:szCs w:val="20"/>
        </w:rPr>
        <w:t>innych prac, które nie stanowią robót budowlanych w rozumieniu ustawy Prawo budowlane prowadząc</w:t>
      </w:r>
      <w:r w:rsidR="002E0A71" w:rsidRPr="002E0A71">
        <w:rPr>
          <w:rFonts w:ascii="Lato" w:hAnsi="Lato" w:cstheme="minorHAnsi"/>
          <w:sz w:val="20"/>
          <w:szCs w:val="20"/>
        </w:rPr>
        <w:t>e</w:t>
      </w:r>
      <w:r w:rsidRPr="002E0A71">
        <w:rPr>
          <w:rFonts w:ascii="Lato" w:hAnsi="Lato" w:cstheme="minorHAnsi"/>
          <w:sz w:val="20"/>
          <w:szCs w:val="20"/>
        </w:rPr>
        <w:t xml:space="preserve"> do</w:t>
      </w:r>
      <w:r w:rsidR="002E0A71" w:rsidRPr="002E0A71">
        <w:rPr>
          <w:rFonts w:ascii="Lato" w:hAnsi="Lato" w:cstheme="minorHAnsi"/>
          <w:sz w:val="20"/>
          <w:szCs w:val="20"/>
        </w:rPr>
        <w:t xml:space="preserve"> dostosowania pomieszczeń podmiotu wykonującego działalność leczniczą</w:t>
      </w:r>
      <w:r w:rsidRPr="002E0A71">
        <w:rPr>
          <w:rFonts w:ascii="Lato" w:hAnsi="Lato" w:cstheme="minorHAnsi"/>
          <w:sz w:val="20"/>
          <w:szCs w:val="20"/>
        </w:rPr>
        <w:t xml:space="preserve"> </w:t>
      </w:r>
      <w:r w:rsidR="002E0A71" w:rsidRPr="002E0A71">
        <w:rPr>
          <w:rFonts w:ascii="Lato" w:hAnsi="Lato" w:cstheme="minorHAnsi"/>
          <w:sz w:val="20"/>
          <w:szCs w:val="20"/>
        </w:rPr>
        <w:t>umożliwiające prawidłowe rozmieszczenie, zainstalowanie i użytkowanie zakupion</w:t>
      </w:r>
      <w:r w:rsidR="002E0A71">
        <w:rPr>
          <w:rFonts w:ascii="Lato" w:hAnsi="Lato" w:cstheme="minorHAnsi"/>
          <w:sz w:val="20"/>
          <w:szCs w:val="20"/>
        </w:rPr>
        <w:t>ych</w:t>
      </w:r>
      <w:r w:rsidR="002E0A71" w:rsidRPr="002E0A71">
        <w:rPr>
          <w:rFonts w:ascii="Lato" w:hAnsi="Lato" w:cstheme="minorHAnsi"/>
          <w:sz w:val="20"/>
          <w:szCs w:val="20"/>
        </w:rPr>
        <w:t xml:space="preserve"> lub zmodernizowanych urządzeń, aparatury i sprzętu </w:t>
      </w:r>
      <w:r w:rsidRPr="002E0A71">
        <w:rPr>
          <w:rFonts w:ascii="Lato" w:hAnsi="Lato" w:cstheme="minorHAnsi"/>
          <w:sz w:val="20"/>
          <w:szCs w:val="20"/>
        </w:rPr>
        <w:t xml:space="preserve">w tych </w:t>
      </w:r>
      <w:r w:rsidRPr="009A3ECE">
        <w:rPr>
          <w:rFonts w:ascii="Lato" w:hAnsi="Lato" w:cstheme="minorHAnsi"/>
          <w:sz w:val="20"/>
          <w:szCs w:val="20"/>
        </w:rPr>
        <w:t>obiektach</w:t>
      </w:r>
      <w:r w:rsidR="002E0A71" w:rsidRPr="009A3ECE">
        <w:rPr>
          <w:rFonts w:ascii="Lato" w:hAnsi="Lato" w:cstheme="minorHAnsi"/>
          <w:sz w:val="20"/>
          <w:szCs w:val="20"/>
        </w:rPr>
        <w:t>/</w:t>
      </w:r>
      <w:r w:rsidRPr="009A3ECE">
        <w:rPr>
          <w:rFonts w:ascii="Lato" w:hAnsi="Lato" w:cstheme="minorHAnsi"/>
          <w:sz w:val="20"/>
          <w:szCs w:val="20"/>
        </w:rPr>
        <w:t>pomieszczeniach</w:t>
      </w:r>
      <w:r w:rsidR="002E0A71" w:rsidRPr="009A3ECE">
        <w:rPr>
          <w:rFonts w:ascii="Lato" w:hAnsi="Lato" w:cstheme="minorHAnsi"/>
          <w:sz w:val="20"/>
          <w:szCs w:val="20"/>
        </w:rPr>
        <w:t xml:space="preserve">, w których </w:t>
      </w:r>
      <w:r w:rsidRPr="009A3ECE">
        <w:rPr>
          <w:rFonts w:ascii="Lato" w:hAnsi="Lato" w:cstheme="minorHAnsi"/>
          <w:sz w:val="20"/>
          <w:szCs w:val="20"/>
        </w:rPr>
        <w:t>zlokalizowane są</w:t>
      </w:r>
      <w:r w:rsidR="00216C55" w:rsidRPr="009A3ECE">
        <w:rPr>
          <w:rFonts w:ascii="Lato" w:hAnsi="Lato" w:cstheme="minorHAnsi"/>
          <w:sz w:val="20"/>
          <w:szCs w:val="20"/>
        </w:rPr>
        <w:t xml:space="preserve"> lub będą zlokalizowane po zakończeniu realizacji przedsięwzięcia</w:t>
      </w:r>
      <w:r w:rsidR="00C74196" w:rsidRPr="009A3ECE">
        <w:rPr>
          <w:rFonts w:ascii="Lato" w:hAnsi="Lato" w:cstheme="minorHAnsi"/>
          <w:sz w:val="20"/>
          <w:szCs w:val="20"/>
        </w:rPr>
        <w:t xml:space="preserve"> w strukturze zakładu leczniczego</w:t>
      </w:r>
      <w:r w:rsidR="005D52D9" w:rsidRPr="009A3ECE">
        <w:rPr>
          <w:rFonts w:ascii="Lato" w:hAnsi="Lato" w:cstheme="minorHAnsi"/>
          <w:sz w:val="20"/>
          <w:szCs w:val="20"/>
        </w:rPr>
        <w:t>.</w:t>
      </w:r>
    </w:p>
    <w:bookmarkEnd w:id="10"/>
    <w:bookmarkEnd w:id="11"/>
    <w:bookmarkEnd w:id="12"/>
    <w:p w14:paraId="28877DD2" w14:textId="5E791008" w:rsidR="00E322F8" w:rsidRPr="001A01BA" w:rsidRDefault="00E322F8" w:rsidP="004B0F33">
      <w:pPr>
        <w:pStyle w:val="Akapitzlist"/>
        <w:numPr>
          <w:ilvl w:val="0"/>
          <w:numId w:val="12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b/>
          <w:bCs/>
          <w:sz w:val="20"/>
          <w:szCs w:val="20"/>
        </w:rPr>
      </w:pPr>
      <w:r w:rsidRPr="001A01BA">
        <w:rPr>
          <w:rStyle w:val="normaltextrun"/>
          <w:rFonts w:ascii="Lato" w:hAnsi="Lato" w:cstheme="minorHAnsi"/>
          <w:b/>
          <w:bCs/>
          <w:sz w:val="20"/>
          <w:szCs w:val="20"/>
        </w:rPr>
        <w:t>Przyłącza mediów</w:t>
      </w:r>
      <w:r w:rsidR="007C177B" w:rsidRPr="001A01BA">
        <w:rPr>
          <w:rFonts w:ascii="Lato" w:hAnsi="Lato" w:cstheme="minorHAnsi"/>
          <w:b/>
          <w:bCs/>
          <w:sz w:val="20"/>
          <w:szCs w:val="20"/>
        </w:rPr>
        <w:t xml:space="preserve"> - zabezpieczenie mediów</w:t>
      </w:r>
    </w:p>
    <w:p w14:paraId="59BF7B0F" w14:textId="00893393" w:rsidR="00E322F8" w:rsidRPr="00F204B6" w:rsidRDefault="00E322F8" w:rsidP="003056A9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Za kwalifikowalne mogą zostać uznane wydatki dotyczące modernizacji sieci, </w:t>
      </w:r>
      <w:r w:rsidR="00D13991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instalacji, urządzeń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6A23E0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lub budowli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zapewniających możliwość użytkowania infrastruktury zgodnie z jej przeznaczeniem, tj. m. in. </w:t>
      </w:r>
      <w:r w:rsidR="00E9133F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wydatki </w:t>
      </w:r>
      <w:r w:rsidR="00507583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na sieci i instalacje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telekomunikacyjne, </w:t>
      </w:r>
      <w:r w:rsidRPr="001A01BA">
        <w:rPr>
          <w:rFonts w:ascii="Lato" w:eastAsiaTheme="majorEastAsia" w:hAnsi="Lato" w:cstheme="minorHAnsi"/>
          <w:iCs/>
          <w:kern w:val="32"/>
          <w:sz w:val="20"/>
          <w:szCs w:val="20"/>
        </w:rPr>
        <w:t>cieplne, wentylacyjne, gazowe, wodociągowe, kanalizacyjne, elektryczne lub elektroenergetyczne</w:t>
      </w:r>
      <w:r w:rsidR="006F3179" w:rsidRPr="001A01BA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, </w:t>
      </w:r>
      <w:r w:rsidRPr="001A01BA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związane z </w:t>
      </w:r>
      <w:r w:rsidR="006F3179" w:rsidRPr="001A01BA">
        <w:rPr>
          <w:rFonts w:ascii="Lato" w:eastAsiaTheme="majorEastAsia" w:hAnsi="Lato" w:cstheme="minorHAnsi"/>
          <w:iCs/>
          <w:kern w:val="32"/>
          <w:sz w:val="20"/>
          <w:szCs w:val="20"/>
        </w:rPr>
        <w:t>r</w:t>
      </w:r>
      <w:r w:rsidR="009F3F15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emontem </w:t>
      </w:r>
      <w:r w:rsidR="006F3179" w:rsidRPr="001A01BA">
        <w:rPr>
          <w:rFonts w:ascii="Lato" w:eastAsiaTheme="majorEastAsia" w:hAnsi="Lato" w:cstheme="minorHAnsi"/>
          <w:iCs/>
          <w:kern w:val="32"/>
          <w:sz w:val="20"/>
          <w:szCs w:val="20"/>
        </w:rPr>
        <w:t>prowadzonym w budynku/ach objętym/tych przedsięwzięciem.</w:t>
      </w:r>
      <w:r w:rsidR="006F317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</w:p>
    <w:p w14:paraId="5FB5C797" w14:textId="7D798784" w:rsidR="00A310F5" w:rsidRPr="00F204B6" w:rsidRDefault="00A310F5" w:rsidP="004B0F33">
      <w:pPr>
        <w:pStyle w:val="Nagwek2"/>
        <w:numPr>
          <w:ilvl w:val="0"/>
          <w:numId w:val="11"/>
        </w:numPr>
        <w:spacing w:before="0" w:after="120"/>
        <w:ind w:left="357" w:hanging="357"/>
        <w:rPr>
          <w:rFonts w:ascii="Lato" w:hAnsi="Lato" w:cstheme="minorHAnsi"/>
          <w:i w:val="0"/>
          <w:iCs/>
          <w:sz w:val="20"/>
          <w:szCs w:val="20"/>
        </w:rPr>
      </w:pPr>
      <w:bookmarkStart w:id="13" w:name="_Toc86258776"/>
      <w:bookmarkStart w:id="14" w:name="_Toc86258795"/>
      <w:bookmarkStart w:id="15" w:name="_Toc86258777"/>
      <w:bookmarkStart w:id="16" w:name="_Toc86258796"/>
      <w:bookmarkStart w:id="17" w:name="_Toc86258778"/>
      <w:bookmarkStart w:id="18" w:name="_Toc86258797"/>
      <w:bookmarkStart w:id="19" w:name="_Toc86258779"/>
      <w:bookmarkStart w:id="20" w:name="_Toc86258798"/>
      <w:bookmarkStart w:id="21" w:name="_Toc86258799"/>
      <w:bookmarkEnd w:id="13"/>
      <w:bookmarkEnd w:id="14"/>
      <w:bookmarkEnd w:id="15"/>
      <w:bookmarkEnd w:id="16"/>
      <w:bookmarkEnd w:id="17"/>
      <w:bookmarkEnd w:id="18"/>
      <w:bookmarkEnd w:id="19"/>
      <w:bookmarkEnd w:id="20"/>
      <w:r w:rsidRPr="00F204B6">
        <w:rPr>
          <w:rFonts w:ascii="Lato" w:hAnsi="Lato" w:cstheme="minorHAnsi"/>
          <w:i w:val="0"/>
          <w:iCs/>
          <w:sz w:val="20"/>
          <w:szCs w:val="20"/>
        </w:rPr>
        <w:t xml:space="preserve">Nadzór/zarządzanie inwestycją </w:t>
      </w:r>
    </w:p>
    <w:p w14:paraId="0ACAA092" w14:textId="44249538" w:rsidR="00A310F5" w:rsidRPr="00F204B6" w:rsidRDefault="00A310F5" w:rsidP="003056A9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Do tej kategorii włączone są wydatki związane z</w:t>
      </w:r>
      <w:r w:rsidR="006A23E0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e świadczeniem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usług lub innych czynności wykonywanych na </w:t>
      </w:r>
      <w:r w:rsidR="00D13991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rzecz OOW</w:t>
      </w:r>
      <w:r w:rsidR="000E4DA3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przez podmioty zewnętrzne, </w:t>
      </w:r>
      <w:r w:rsidR="00043CD6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obejmujące m.in.:</w:t>
      </w:r>
    </w:p>
    <w:p w14:paraId="441F3125" w14:textId="5BABD2FF" w:rsidR="00A310F5" w:rsidRPr="00293157" w:rsidRDefault="00043CD6" w:rsidP="00D275B2">
      <w:pPr>
        <w:pStyle w:val="Akapitzlist"/>
        <w:numPr>
          <w:ilvl w:val="0"/>
          <w:numId w:val="13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/>
          <w:sz w:val="20"/>
          <w:szCs w:val="20"/>
        </w:rPr>
      </w:pPr>
      <w:r w:rsidRPr="00293157">
        <w:rPr>
          <w:rStyle w:val="normaltextrun"/>
          <w:rFonts w:ascii="Lato" w:hAnsi="Lato"/>
          <w:sz w:val="20"/>
          <w:szCs w:val="20"/>
        </w:rPr>
        <w:t>n</w:t>
      </w:r>
      <w:r w:rsidR="00A310F5" w:rsidRPr="00293157">
        <w:rPr>
          <w:rStyle w:val="normaltextrun"/>
          <w:rFonts w:ascii="Lato" w:hAnsi="Lato"/>
          <w:sz w:val="20"/>
          <w:szCs w:val="20"/>
        </w:rPr>
        <w:t>adzór inwestorski</w:t>
      </w:r>
      <w:r w:rsidRPr="00293157">
        <w:rPr>
          <w:rStyle w:val="normaltextrun"/>
          <w:rFonts w:ascii="Lato" w:hAnsi="Lato"/>
          <w:sz w:val="20"/>
          <w:szCs w:val="20"/>
        </w:rPr>
        <w:t xml:space="preserve">, </w:t>
      </w:r>
    </w:p>
    <w:p w14:paraId="1B4736FA" w14:textId="1598ADFE" w:rsidR="00043CD6" w:rsidRPr="00293157" w:rsidRDefault="00043CD6" w:rsidP="00D275B2">
      <w:pPr>
        <w:pStyle w:val="Akapitzlist"/>
        <w:numPr>
          <w:ilvl w:val="0"/>
          <w:numId w:val="13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/>
          <w:sz w:val="20"/>
          <w:szCs w:val="20"/>
        </w:rPr>
      </w:pPr>
      <w:r w:rsidRPr="00293157">
        <w:rPr>
          <w:rStyle w:val="normaltextrun"/>
          <w:rFonts w:ascii="Lato" w:hAnsi="Lato"/>
          <w:sz w:val="20"/>
          <w:szCs w:val="20"/>
        </w:rPr>
        <w:t>zastępstwo inwestorskie.</w:t>
      </w:r>
    </w:p>
    <w:p w14:paraId="35F2C854" w14:textId="79003271" w:rsidR="00043CD6" w:rsidRPr="00F204B6" w:rsidRDefault="00043CD6" w:rsidP="004B0F33">
      <w:pPr>
        <w:pStyle w:val="Nagwek2"/>
        <w:numPr>
          <w:ilvl w:val="0"/>
          <w:numId w:val="11"/>
        </w:numPr>
        <w:spacing w:before="0" w:after="120"/>
        <w:ind w:left="357" w:hanging="357"/>
        <w:rPr>
          <w:rFonts w:ascii="Lato" w:hAnsi="Lato" w:cstheme="minorHAnsi"/>
          <w:i w:val="0"/>
          <w:iCs/>
          <w:sz w:val="20"/>
          <w:szCs w:val="20"/>
        </w:rPr>
      </w:pPr>
      <w:r w:rsidRPr="00F204B6">
        <w:rPr>
          <w:rFonts w:ascii="Lato" w:hAnsi="Lato" w:cstheme="minorHAnsi"/>
          <w:i w:val="0"/>
          <w:iCs/>
          <w:sz w:val="20"/>
          <w:szCs w:val="20"/>
        </w:rPr>
        <w:lastRenderedPageBreak/>
        <w:t>Środki trwałe/Dostawy</w:t>
      </w:r>
    </w:p>
    <w:p w14:paraId="0F438221" w14:textId="26E08CAA" w:rsidR="00043CD6" w:rsidRPr="00F204B6" w:rsidRDefault="00084513" w:rsidP="003056A9">
      <w:pPr>
        <w:spacing w:after="120" w:line="360" w:lineRule="auto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W ramach kategorii kwalifikują się wydatki na nabycie (zakup, dostawa, montaż) środków trwałych, </w:t>
      </w:r>
      <w:r w:rsidR="00AC429D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w </w:t>
      </w:r>
      <w:r w:rsidR="00F84E2E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rozumieniu art.</w:t>
      </w:r>
      <w:r w:rsidR="006B53D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3 ust. 1 pkt 15 ustawy z dnia 29 września 1994 r. o rachunkowości</w:t>
      </w:r>
      <w:r w:rsidR="004B0F33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, tj. rzeczowych aktywów trwałych i zrównanych z nimi, o przewidywanym okresie ekonomicznej użyteczności dłuższym niż rok, kompletnych, zdatnych do użytku i przeznaczonych na potrzeby jednostki. </w:t>
      </w:r>
      <w:bookmarkStart w:id="22" w:name="_Toc86258802"/>
    </w:p>
    <w:p w14:paraId="71826B5E" w14:textId="5D187B6A" w:rsidR="007169DD" w:rsidRPr="001A01BA" w:rsidRDefault="007169DD" w:rsidP="002E0A71">
      <w:pPr>
        <w:pStyle w:val="Akapitzlist"/>
        <w:numPr>
          <w:ilvl w:val="0"/>
          <w:numId w:val="33"/>
        </w:numPr>
        <w:spacing w:after="120" w:line="360" w:lineRule="auto"/>
        <w:ind w:left="709" w:hanging="283"/>
        <w:contextualSpacing w:val="0"/>
        <w:rPr>
          <w:rStyle w:val="normaltextrun"/>
          <w:rFonts w:ascii="Lato" w:hAnsi="Lato" w:cstheme="minorHAnsi"/>
          <w:b/>
          <w:bCs/>
          <w:sz w:val="20"/>
          <w:szCs w:val="20"/>
        </w:rPr>
      </w:pPr>
      <w:r w:rsidRPr="001A01BA">
        <w:rPr>
          <w:rStyle w:val="normaltextrun"/>
          <w:rFonts w:ascii="Lato" w:hAnsi="Lato" w:cstheme="minorHAnsi"/>
          <w:b/>
          <w:bCs/>
          <w:sz w:val="20"/>
          <w:szCs w:val="20"/>
        </w:rPr>
        <w:t>Wyroby medyczne</w:t>
      </w:r>
      <w:bookmarkEnd w:id="22"/>
    </w:p>
    <w:p w14:paraId="06CAE37A" w14:textId="4B22031A" w:rsidR="00811A76" w:rsidRPr="00F204B6" w:rsidRDefault="00811A76" w:rsidP="003056A9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Za kwalifikowalne mogą zostać uznane wydatki dotyczące zakupu wyrobów medycznych</w:t>
      </w:r>
      <w:r w:rsidR="00F125EA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w celu doposażenia komórek organizacyjnych, wymienionych w § </w:t>
      </w:r>
      <w:r w:rsidR="009C4394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8 </w:t>
      </w:r>
      <w:r w:rsidR="00F125EA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ust. 2 Regulaminu wyboru,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jeżeli są one uzasadnione z punktu widzenia rzeczywistego zapotrzebowania na dany produkt (ilość, parametry wyrobu medycznego muszą być adekwatne do zakresu udzielanych przez podmiot leczniczy świadczeń opieki </w:t>
      </w:r>
      <w:r w:rsidR="001A01BA">
        <w:rPr>
          <w:rFonts w:ascii="Lato" w:eastAsiaTheme="majorEastAsia" w:hAnsi="Lato" w:cstheme="minorHAnsi"/>
          <w:iCs/>
          <w:kern w:val="32"/>
          <w:sz w:val="20"/>
          <w:szCs w:val="20"/>
        </w:rPr>
        <w:t>kardiologicznej</w:t>
      </w:r>
      <w:r w:rsidR="00F3501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oraz </w:t>
      </w:r>
      <w:r w:rsidR="00F35019" w:rsidRPr="0094254D">
        <w:rPr>
          <w:rFonts w:ascii="Lato" w:eastAsiaTheme="majorEastAsia" w:hAnsi="Lato" w:cstheme="minorHAnsi"/>
          <w:iCs/>
          <w:kern w:val="32"/>
          <w:sz w:val="20"/>
          <w:szCs w:val="20"/>
        </w:rPr>
        <w:t>ułatwiają pielęgnację i opiekę nad pacjentami, chroniąc przed przeciążeniem fizycznym</w:t>
      </w:r>
      <w:r w:rsidR="00312A75" w:rsidRPr="0094254D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personelu, a także przyspieszają proces leczenia</w:t>
      </w:r>
      <w:r w:rsidR="00507583" w:rsidRPr="0094254D">
        <w:rPr>
          <w:rFonts w:ascii="Lato" w:eastAsiaTheme="majorEastAsia" w:hAnsi="Lato" w:cstheme="minorHAnsi"/>
          <w:iCs/>
          <w:kern w:val="32"/>
          <w:sz w:val="20"/>
          <w:szCs w:val="20"/>
        </w:rPr>
        <w:t>)</w:t>
      </w:r>
      <w:r w:rsidR="00312A75" w:rsidRPr="0094254D">
        <w:rPr>
          <w:rFonts w:ascii="Lato" w:eastAsiaTheme="majorEastAsia" w:hAnsi="Lato" w:cstheme="minorHAnsi"/>
          <w:iCs/>
          <w:kern w:val="32"/>
          <w:sz w:val="20"/>
          <w:szCs w:val="20"/>
        </w:rPr>
        <w:t>.</w:t>
      </w:r>
    </w:p>
    <w:p w14:paraId="0C52399C" w14:textId="22BEFA77" w:rsidR="00811A76" w:rsidRPr="00F204B6" w:rsidRDefault="00811A76" w:rsidP="003056A9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Uzasadnienie dla zakupu wyrobów medycznych powinno wynikać z aktualnej mapy potrzeb zdrowotnych</w:t>
      </w:r>
      <w:r w:rsidR="004D605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(jeśli dotyczy)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AA61C7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i jest potwierdzone </w:t>
      </w:r>
      <w:r w:rsidR="00B7083D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posiadaniem pozytywnej opinii o celowości inwestycji</w:t>
      </w:r>
      <w:r w:rsidR="00AA61C7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. </w:t>
      </w:r>
    </w:p>
    <w:p w14:paraId="3ADC7BC2" w14:textId="46B244AB" w:rsidR="007169DD" w:rsidRPr="00F204B6" w:rsidRDefault="00B87010" w:rsidP="00AE6B06">
      <w:pPr>
        <w:spacing w:after="120" w:line="360" w:lineRule="auto"/>
        <w:rPr>
          <w:rFonts w:ascii="Lato" w:hAnsi="Lato" w:cstheme="minorHAnsi"/>
          <w:sz w:val="20"/>
          <w:szCs w:val="20"/>
        </w:rPr>
      </w:pPr>
      <w:r w:rsidRPr="00F204B6">
        <w:rPr>
          <w:rFonts w:ascii="Lato" w:hAnsi="Lato" w:cstheme="minorHAnsi"/>
          <w:sz w:val="20"/>
          <w:szCs w:val="20"/>
        </w:rPr>
        <w:t xml:space="preserve">Za kwalifikowane </w:t>
      </w:r>
      <w:r w:rsidRPr="00F204B6">
        <w:rPr>
          <w:rFonts w:ascii="Lato" w:hAnsi="Lato" w:cstheme="minorHAnsi"/>
          <w:b/>
          <w:bCs/>
          <w:sz w:val="20"/>
          <w:szCs w:val="20"/>
        </w:rPr>
        <w:t>nie mogą zostać uznane</w:t>
      </w:r>
      <w:r w:rsidRPr="00F204B6">
        <w:rPr>
          <w:rFonts w:ascii="Lato" w:hAnsi="Lato" w:cstheme="minorHAnsi"/>
          <w:sz w:val="20"/>
          <w:szCs w:val="20"/>
        </w:rPr>
        <w:t xml:space="preserve"> wydatki poniesione na zakup produktów leczniczych.</w:t>
      </w:r>
    </w:p>
    <w:p w14:paraId="36509A6B" w14:textId="0A0865E5" w:rsidR="004B0F33" w:rsidRPr="001A01BA" w:rsidRDefault="004B0F33" w:rsidP="002E0A71">
      <w:pPr>
        <w:pStyle w:val="Akapitzlist"/>
        <w:numPr>
          <w:ilvl w:val="0"/>
          <w:numId w:val="33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b/>
          <w:bCs/>
          <w:sz w:val="20"/>
          <w:szCs w:val="20"/>
        </w:rPr>
      </w:pPr>
      <w:r w:rsidRPr="001A01BA">
        <w:rPr>
          <w:rFonts w:ascii="Lato" w:hAnsi="Lato" w:cstheme="minorHAnsi"/>
          <w:b/>
          <w:bCs/>
          <w:iCs/>
          <w:sz w:val="20"/>
          <w:szCs w:val="20"/>
        </w:rPr>
        <w:t>Specjalistyczne</w:t>
      </w:r>
      <w:r w:rsidRPr="001A01BA">
        <w:rPr>
          <w:rStyle w:val="normaltextrun"/>
          <w:rFonts w:ascii="Lato" w:hAnsi="Lato" w:cstheme="minorHAnsi"/>
          <w:b/>
          <w:bCs/>
          <w:sz w:val="20"/>
          <w:szCs w:val="20"/>
        </w:rPr>
        <w:t xml:space="preserve"> meble medyczne</w:t>
      </w:r>
      <w:r w:rsidR="00F43B2C">
        <w:rPr>
          <w:rStyle w:val="normaltextrun"/>
          <w:rFonts w:ascii="Lato" w:hAnsi="Lato" w:cstheme="minorHAnsi"/>
          <w:b/>
          <w:bCs/>
          <w:sz w:val="20"/>
          <w:szCs w:val="20"/>
        </w:rPr>
        <w:t xml:space="preserve"> związane </w:t>
      </w:r>
      <w:r w:rsidR="00F43B2C" w:rsidRPr="00442D91">
        <w:rPr>
          <w:rFonts w:ascii="Lato" w:hAnsi="Lato" w:cstheme="minorHAnsi"/>
          <w:b/>
          <w:bCs/>
          <w:sz w:val="20"/>
          <w:szCs w:val="20"/>
        </w:rPr>
        <w:t>z</w:t>
      </w:r>
      <w:r w:rsidR="00F43B2C">
        <w:rPr>
          <w:rFonts w:ascii="Lato" w:hAnsi="Lato" w:cstheme="minorHAnsi"/>
          <w:b/>
          <w:bCs/>
          <w:sz w:val="20"/>
          <w:szCs w:val="20"/>
        </w:rPr>
        <w:t xml:space="preserve"> </w:t>
      </w:r>
      <w:r w:rsidR="00F43B2C" w:rsidRPr="00442D91">
        <w:rPr>
          <w:rFonts w:ascii="Lato" w:hAnsi="Lato" w:cstheme="minorHAnsi"/>
          <w:b/>
          <w:bCs/>
          <w:sz w:val="20"/>
          <w:szCs w:val="20"/>
        </w:rPr>
        <w:t>udzielan</w:t>
      </w:r>
      <w:r w:rsidR="00F43B2C">
        <w:rPr>
          <w:rFonts w:ascii="Lato" w:hAnsi="Lato" w:cstheme="minorHAnsi"/>
          <w:b/>
          <w:bCs/>
          <w:sz w:val="20"/>
          <w:szCs w:val="20"/>
        </w:rPr>
        <w:t>iem świadczeń</w:t>
      </w:r>
      <w:r w:rsidR="00F43B2C" w:rsidRPr="00442D91">
        <w:rPr>
          <w:rFonts w:ascii="Lato" w:hAnsi="Lato" w:cstheme="minorHAnsi"/>
          <w:b/>
          <w:bCs/>
          <w:sz w:val="20"/>
          <w:szCs w:val="20"/>
        </w:rPr>
        <w:t xml:space="preserve"> w obszarze kardiologii</w:t>
      </w:r>
    </w:p>
    <w:p w14:paraId="4D40BEC1" w14:textId="4CD25C17" w:rsidR="004B0F33" w:rsidRPr="00F204B6" w:rsidRDefault="004B0F33" w:rsidP="004B0F33">
      <w:pPr>
        <w:spacing w:after="120" w:line="360" w:lineRule="auto"/>
        <w:rPr>
          <w:rFonts w:ascii="Lato" w:hAnsi="Lato" w:cstheme="minorHAnsi"/>
          <w:iCs/>
          <w:sz w:val="20"/>
          <w:szCs w:val="20"/>
        </w:rPr>
      </w:pPr>
      <w:r w:rsidRPr="00F204B6">
        <w:rPr>
          <w:rFonts w:ascii="Lato" w:hAnsi="Lato" w:cstheme="minorHAnsi"/>
          <w:iCs/>
          <w:sz w:val="20"/>
          <w:szCs w:val="20"/>
        </w:rPr>
        <w:t xml:space="preserve">Za kwalifikowalne mogą zostać uznane wydatki związane </w:t>
      </w:r>
      <w:r w:rsidR="00D13991" w:rsidRPr="00F204B6">
        <w:rPr>
          <w:rFonts w:ascii="Lato" w:hAnsi="Lato" w:cstheme="minorHAnsi"/>
          <w:iCs/>
          <w:sz w:val="20"/>
          <w:szCs w:val="20"/>
        </w:rPr>
        <w:t>z wyposażeniem</w:t>
      </w:r>
      <w:r w:rsidRPr="00F204B6">
        <w:rPr>
          <w:rFonts w:ascii="Lato" w:hAnsi="Lato" w:cstheme="minorHAnsi"/>
          <w:iCs/>
          <w:sz w:val="20"/>
          <w:szCs w:val="20"/>
        </w:rPr>
        <w:t xml:space="preserve"> gabinetów lekarskich, zabiegowych, pielęgniarskich w specjalistyczne meble medyczne, mające na celu wsparcie personelu medycznego w udzielaniu świadczeń, tj</w:t>
      </w:r>
      <w:r w:rsidR="00103459">
        <w:rPr>
          <w:rFonts w:ascii="Lato" w:hAnsi="Lato" w:cstheme="minorHAnsi"/>
          <w:iCs/>
          <w:sz w:val="20"/>
          <w:szCs w:val="20"/>
        </w:rPr>
        <w:t>.</w:t>
      </w:r>
      <w:r w:rsidRPr="00F204B6">
        <w:rPr>
          <w:rFonts w:ascii="Lato" w:hAnsi="Lato" w:cstheme="minorHAnsi"/>
          <w:iCs/>
          <w:sz w:val="20"/>
          <w:szCs w:val="20"/>
        </w:rPr>
        <w:t>: m.in. szafki na leki, kozetki medyczne, stoliki zabiegowe, wieszaki na kroplówki.</w:t>
      </w:r>
    </w:p>
    <w:p w14:paraId="2588D2F5" w14:textId="563F8A49" w:rsidR="00A825C8" w:rsidRPr="00A825C8" w:rsidRDefault="005A3EA2" w:rsidP="002E0A71">
      <w:pPr>
        <w:pStyle w:val="Akapitzlist"/>
        <w:numPr>
          <w:ilvl w:val="0"/>
          <w:numId w:val="33"/>
        </w:numPr>
        <w:spacing w:line="360" w:lineRule="auto"/>
        <w:ind w:left="714" w:hanging="357"/>
        <w:rPr>
          <w:rFonts w:ascii="Lato" w:hAnsi="Lato" w:cstheme="minorHAnsi"/>
          <w:b/>
          <w:bCs/>
          <w:sz w:val="20"/>
          <w:szCs w:val="20"/>
        </w:rPr>
      </w:pPr>
      <w:r w:rsidRPr="001A01BA">
        <w:rPr>
          <w:rStyle w:val="normaltextrun"/>
          <w:rFonts w:ascii="Lato" w:hAnsi="Lato" w:cstheme="minorHAnsi"/>
          <w:b/>
          <w:bCs/>
          <w:sz w:val="20"/>
          <w:szCs w:val="20"/>
        </w:rPr>
        <w:t xml:space="preserve">Wyposażenie socjalno-bytowe oraz </w:t>
      </w:r>
      <w:r w:rsidR="00521E15" w:rsidRPr="001A01BA">
        <w:rPr>
          <w:rStyle w:val="normaltextrun"/>
          <w:rFonts w:ascii="Lato" w:hAnsi="Lato" w:cstheme="minorHAnsi"/>
          <w:b/>
          <w:bCs/>
          <w:sz w:val="20"/>
          <w:szCs w:val="20"/>
        </w:rPr>
        <w:t>biurowo/</w:t>
      </w:r>
      <w:r w:rsidRPr="001A01BA">
        <w:rPr>
          <w:rStyle w:val="normaltextrun"/>
          <w:rFonts w:ascii="Lato" w:hAnsi="Lato" w:cstheme="minorHAnsi"/>
          <w:b/>
          <w:bCs/>
          <w:sz w:val="20"/>
          <w:szCs w:val="20"/>
        </w:rPr>
        <w:t>administracyjne</w:t>
      </w:r>
      <w:r w:rsidR="004D6C3E">
        <w:rPr>
          <w:rStyle w:val="normaltextrun"/>
          <w:rFonts w:ascii="Lato" w:hAnsi="Lato" w:cstheme="minorHAnsi"/>
          <w:sz w:val="20"/>
          <w:szCs w:val="20"/>
        </w:rPr>
        <w:t xml:space="preserve"> - </w:t>
      </w:r>
      <w:r w:rsidR="004D6C3E" w:rsidRPr="004D6C3E">
        <w:rPr>
          <w:rStyle w:val="normaltextrun"/>
          <w:rFonts w:ascii="Lato" w:hAnsi="Lato" w:cstheme="minorHAnsi"/>
          <w:sz w:val="20"/>
          <w:szCs w:val="20"/>
        </w:rPr>
        <w:t>niezbędn</w:t>
      </w:r>
      <w:r w:rsidR="004D6C3E">
        <w:rPr>
          <w:rStyle w:val="normaltextrun"/>
          <w:rFonts w:ascii="Lato" w:hAnsi="Lato" w:cstheme="minorHAnsi"/>
          <w:sz w:val="20"/>
          <w:szCs w:val="20"/>
        </w:rPr>
        <w:t>e</w:t>
      </w:r>
      <w:r w:rsidR="004D6C3E" w:rsidRPr="004D6C3E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="00A825C8">
        <w:rPr>
          <w:rStyle w:val="normaltextrun"/>
          <w:rFonts w:ascii="Lato" w:hAnsi="Lato" w:cstheme="minorHAnsi"/>
          <w:sz w:val="20"/>
          <w:szCs w:val="20"/>
        </w:rPr>
        <w:t xml:space="preserve">z punktu widzenia </w:t>
      </w:r>
      <w:r w:rsidR="00A825C8" w:rsidRPr="00A825C8">
        <w:rPr>
          <w:rFonts w:ascii="Lato" w:hAnsi="Lato" w:cstheme="minorHAnsi"/>
          <w:sz w:val="20"/>
          <w:szCs w:val="20"/>
        </w:rPr>
        <w:t>popraw</w:t>
      </w:r>
      <w:r w:rsidR="00A825C8">
        <w:rPr>
          <w:rFonts w:ascii="Lato" w:hAnsi="Lato" w:cstheme="minorHAnsi"/>
          <w:sz w:val="20"/>
          <w:szCs w:val="20"/>
        </w:rPr>
        <w:t>y</w:t>
      </w:r>
      <w:r w:rsidR="00A825C8" w:rsidRPr="00A825C8">
        <w:rPr>
          <w:rFonts w:ascii="Lato" w:hAnsi="Lato" w:cstheme="minorHAnsi"/>
          <w:sz w:val="20"/>
          <w:szCs w:val="20"/>
        </w:rPr>
        <w:t xml:space="preserve"> warunków bytowych, w tym zwłaszcza podnoszących komfort przebywania w miejscach świadczonych usług oraz popraw</w:t>
      </w:r>
      <w:r w:rsidR="00265E5D">
        <w:rPr>
          <w:rFonts w:ascii="Lato" w:hAnsi="Lato" w:cstheme="minorHAnsi"/>
          <w:sz w:val="20"/>
          <w:szCs w:val="20"/>
        </w:rPr>
        <w:t>y</w:t>
      </w:r>
      <w:r w:rsidR="00A825C8" w:rsidRPr="00A825C8">
        <w:rPr>
          <w:rFonts w:ascii="Lato" w:hAnsi="Lato" w:cstheme="minorHAnsi"/>
          <w:sz w:val="20"/>
          <w:szCs w:val="20"/>
        </w:rPr>
        <w:t xml:space="preserve"> infrastruktury pomieszczeń socjalnych</w:t>
      </w:r>
      <w:r w:rsidR="00265E5D">
        <w:rPr>
          <w:rFonts w:ascii="Lato" w:hAnsi="Lato" w:cstheme="minorHAnsi"/>
          <w:sz w:val="20"/>
          <w:szCs w:val="20"/>
        </w:rPr>
        <w:t>.</w:t>
      </w:r>
    </w:p>
    <w:p w14:paraId="0A558285" w14:textId="77777777" w:rsidR="004B0F33" w:rsidRPr="00F204B6" w:rsidRDefault="004B0F33" w:rsidP="004B0F33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Za kwalifikowalne mogą zostać uznane wydatki związane z:</w:t>
      </w:r>
    </w:p>
    <w:p w14:paraId="0D7CEAB5" w14:textId="5384F485" w:rsidR="004B0F33" w:rsidRPr="0094254D" w:rsidRDefault="004B0F33" w:rsidP="002E0A71">
      <w:pPr>
        <w:numPr>
          <w:ilvl w:val="0"/>
          <w:numId w:val="22"/>
        </w:num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94254D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wyposażeniem socjalno-bytowym, mającym na celu poprawę warunków niezbędnych do funkcjonowania oddziałów szpitalnych zarówno dla pacjentów, np. szafki przyłóżkowe, </w:t>
      </w:r>
      <w:r w:rsidR="003C6069" w:rsidRPr="0094254D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taborety z regulacją wysokości, </w:t>
      </w:r>
      <w:r w:rsidRPr="0094254D">
        <w:rPr>
          <w:rFonts w:ascii="Lato" w:eastAsiaTheme="majorEastAsia" w:hAnsi="Lato" w:cstheme="minorHAnsi"/>
          <w:iCs/>
          <w:kern w:val="32"/>
          <w:sz w:val="20"/>
          <w:szCs w:val="20"/>
        </w:rPr>
        <w:t>krzesła, wieszaki, umywalki, dozowniki z mydłem, pojemniki z ręcznikami jednorazowymi, oraz pojemniki na zużyte ręczniki, jak i personelu medycznego, np. wyposażenie pomieszczeń gospodarczych oraz socjalnych typu np. dyżurka pielęgniarek, pomieszczeń higieniczno-sanitarnych, porządkowych, śluz umywalkowo-fartuchowych czy szatniowych.</w:t>
      </w:r>
    </w:p>
    <w:p w14:paraId="0C44D2B0" w14:textId="77777777" w:rsidR="004B0F33" w:rsidRPr="00F204B6" w:rsidRDefault="004B0F33" w:rsidP="004B0F33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Za kwalifikowalne </w:t>
      </w:r>
      <w:r w:rsidRPr="00F204B6">
        <w:rPr>
          <w:rFonts w:ascii="Lato" w:eastAsiaTheme="majorEastAsia" w:hAnsi="Lato" w:cstheme="minorHAnsi"/>
          <w:b/>
          <w:bCs/>
          <w:iCs/>
          <w:kern w:val="32"/>
          <w:sz w:val="20"/>
          <w:szCs w:val="20"/>
        </w:rPr>
        <w:t>nie będą uznane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wydatki poniesione na zakup m. in. telewizorów, sprzętu grającego, kin domowych i innego wyposażenia, które nie jest niezbędne dla realizacji celu przedsięwzięcia oraz dla poprawnego funkcjonowania infrastruktury wytworzonej w wyniku jego realizacji.</w:t>
      </w:r>
    </w:p>
    <w:p w14:paraId="47534E81" w14:textId="77777777" w:rsidR="004B0F33" w:rsidRPr="00F204B6" w:rsidRDefault="004B0F33" w:rsidP="004B0F33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bookmarkStart w:id="23" w:name="_Hlk169006998"/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Wydatki na wyposażenie socjalno-bytowe nie mogą stanowić więcej niż </w:t>
      </w:r>
      <w:r w:rsidRPr="00F204B6">
        <w:rPr>
          <w:rFonts w:ascii="Lato" w:eastAsiaTheme="majorEastAsia" w:hAnsi="Lato" w:cstheme="minorHAnsi"/>
          <w:b/>
          <w:bCs/>
          <w:iCs/>
          <w:kern w:val="32"/>
          <w:sz w:val="20"/>
          <w:szCs w:val="20"/>
        </w:rPr>
        <w:t>15 %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wydatków kwalifikowalnych w przedsięwzięciu</w:t>
      </w:r>
      <w:bookmarkEnd w:id="23"/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. </w:t>
      </w:r>
    </w:p>
    <w:p w14:paraId="61F776EA" w14:textId="11BC4194" w:rsidR="004B0F33" w:rsidRPr="00F204B6" w:rsidRDefault="004B0F33" w:rsidP="002E0A71">
      <w:pPr>
        <w:numPr>
          <w:ilvl w:val="0"/>
          <w:numId w:val="23"/>
        </w:num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zakupem wyposażenia biurowego/administracyjnego (zabudowa meblowa, krzesła, biurka, kontenery, stoliki, szafy ubraniowe), mogą zostać uznane za kwalifikowalne pod warunkiem, że są niezbędne dla realizacji celu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lastRenderedPageBreak/>
        <w:t xml:space="preserve">przedsięwzięcia oraz dla poprawnego funkcjonowania infrastruktury wytworzonej w wyniku realizacji przedsięwzięcia. </w:t>
      </w:r>
    </w:p>
    <w:p w14:paraId="6D99D6DB" w14:textId="77777777" w:rsidR="004B0F33" w:rsidRPr="00F204B6" w:rsidRDefault="004B0F33" w:rsidP="004B0F33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Wydatki na wyposażenie biurowe/administracyjne nie mogą stanowić więcej niż </w:t>
      </w:r>
      <w:r w:rsidRPr="00F204B6">
        <w:rPr>
          <w:rFonts w:ascii="Lato" w:eastAsiaTheme="majorEastAsia" w:hAnsi="Lato" w:cstheme="minorHAnsi"/>
          <w:b/>
          <w:bCs/>
          <w:iCs/>
          <w:kern w:val="32"/>
          <w:sz w:val="20"/>
          <w:szCs w:val="20"/>
        </w:rPr>
        <w:t>5%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wydatków kwalifikowalnych przedsięwzięcia.</w:t>
      </w:r>
    </w:p>
    <w:p w14:paraId="2FDDCCD2" w14:textId="01AF7897" w:rsidR="008A454C" w:rsidRPr="00F204B6" w:rsidRDefault="008A454C" w:rsidP="004B0F33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AB7E14">
        <w:rPr>
          <w:rFonts w:ascii="Lato" w:eastAsiaTheme="majorEastAsia" w:hAnsi="Lato" w:cstheme="minorHAnsi"/>
          <w:iCs/>
          <w:kern w:val="32"/>
          <w:sz w:val="20"/>
          <w:szCs w:val="20"/>
        </w:rPr>
        <w:t>W załączniku nr 2.2a wskazano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wykaz rekomendowanych wyrobów medycznych i wyposażenia.</w:t>
      </w:r>
    </w:p>
    <w:p w14:paraId="69578190" w14:textId="0170C7A3" w:rsidR="005A3EA2" w:rsidRPr="001A01BA" w:rsidRDefault="005A3EA2" w:rsidP="002E0A71">
      <w:pPr>
        <w:pStyle w:val="Akapitzlist"/>
        <w:numPr>
          <w:ilvl w:val="0"/>
          <w:numId w:val="33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b/>
          <w:bCs/>
          <w:sz w:val="20"/>
          <w:szCs w:val="20"/>
        </w:rPr>
      </w:pPr>
      <w:r w:rsidRPr="001A01BA">
        <w:rPr>
          <w:rStyle w:val="normaltextrun"/>
          <w:rFonts w:ascii="Lato" w:hAnsi="Lato" w:cstheme="minorHAnsi"/>
          <w:b/>
          <w:bCs/>
          <w:sz w:val="20"/>
          <w:szCs w:val="20"/>
        </w:rPr>
        <w:t>Infrastruktura dotycząca informatyzacji</w:t>
      </w:r>
    </w:p>
    <w:p w14:paraId="5F56F85D" w14:textId="3B1A05F8" w:rsidR="004615F3" w:rsidRPr="00F204B6" w:rsidRDefault="005A3EA2" w:rsidP="003056A9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Za kwalifikowalne mogą zostać uznane wydatki związane z zakupem sprzętu komputerowego (np. komputery stacjonarne, laptopy, tablety, drukarki, skanery)</w:t>
      </w:r>
      <w:r w:rsidR="00AC429D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,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systemów teleinformatycznych, serwerów, zintegrowanych systemów informatycznych oraz innego sprzętu niezbędnego do prowadzonej działalności wyłącznie w przypadku, gdy sprzęt ten jest bezpośrednio związany działaniem jednostek organizacyjnych objętych wsparciem</w:t>
      </w:r>
      <w:r w:rsidR="000504CF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i jest niezbędny do prawidłowego wykorzystania wyrobów medycznych, o których mowa  w pkt 1), zakupionych lub modernizowanych w ramach realizacji przedsięwzięcia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.</w:t>
      </w:r>
    </w:p>
    <w:p w14:paraId="0BC67B52" w14:textId="17A2D1E8" w:rsidR="001A01BA" w:rsidRPr="001A01BA" w:rsidRDefault="00D417EB" w:rsidP="002E0A71">
      <w:pPr>
        <w:pStyle w:val="Akapitzlist"/>
        <w:numPr>
          <w:ilvl w:val="0"/>
          <w:numId w:val="33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1A01BA">
        <w:rPr>
          <w:rStyle w:val="normaltextrun"/>
          <w:rFonts w:ascii="Lato" w:hAnsi="Lato" w:cstheme="minorHAnsi"/>
          <w:b/>
          <w:bCs/>
          <w:sz w:val="20"/>
          <w:szCs w:val="20"/>
        </w:rPr>
        <w:t>Leasing środków trwałych oraz wartości niematerialnych i prawnych</w:t>
      </w:r>
    </w:p>
    <w:p w14:paraId="28CE1B0A" w14:textId="79F84EB0" w:rsidR="005B45D8" w:rsidRPr="001A01BA" w:rsidRDefault="005B45D8" w:rsidP="001A01BA">
      <w:pPr>
        <w:spacing w:after="120" w:line="360" w:lineRule="auto"/>
        <w:ind w:left="357"/>
        <w:rPr>
          <w:rStyle w:val="normaltextrun"/>
          <w:rFonts w:ascii="Lato" w:hAnsi="Lato" w:cstheme="minorHAnsi"/>
          <w:sz w:val="20"/>
          <w:szCs w:val="20"/>
        </w:rPr>
      </w:pPr>
      <w:r w:rsidRPr="001A01BA">
        <w:rPr>
          <w:rStyle w:val="normaltextrun"/>
          <w:rFonts w:ascii="Lato" w:hAnsi="Lato" w:cstheme="minorHAnsi"/>
          <w:sz w:val="20"/>
          <w:szCs w:val="20"/>
        </w:rPr>
        <w:t xml:space="preserve">Szczegółowe warunki kwalifikowalności wydatków poniesionych w związku z zastosowaniem technik finansowania, które nie powodują natychmiastowego przeniesienia prawa własności do danego dobra na </w:t>
      </w:r>
      <w:r w:rsidR="00EC0A20">
        <w:rPr>
          <w:rStyle w:val="normaltextrun"/>
          <w:rFonts w:ascii="Lato" w:hAnsi="Lato" w:cstheme="minorHAnsi"/>
          <w:sz w:val="20"/>
          <w:szCs w:val="20"/>
        </w:rPr>
        <w:t xml:space="preserve">OOW </w:t>
      </w:r>
      <w:r w:rsidRPr="001A01BA">
        <w:rPr>
          <w:rStyle w:val="normaltextrun"/>
          <w:rFonts w:ascii="Lato" w:hAnsi="Lato" w:cstheme="minorHAnsi"/>
          <w:sz w:val="20"/>
          <w:szCs w:val="20"/>
        </w:rPr>
        <w:t>(np. leasing)</w:t>
      </w:r>
      <w:r w:rsidR="000B13CE" w:rsidRPr="001A01BA">
        <w:rPr>
          <w:rStyle w:val="normaltextrun"/>
          <w:rFonts w:ascii="Lato" w:hAnsi="Lato" w:cstheme="minorHAnsi"/>
          <w:sz w:val="20"/>
          <w:szCs w:val="20"/>
        </w:rPr>
        <w:t>:</w:t>
      </w:r>
    </w:p>
    <w:p w14:paraId="08FEC6E4" w14:textId="77777777" w:rsidR="00D417EB" w:rsidRPr="00293032" w:rsidRDefault="00D417EB" w:rsidP="002E0A71">
      <w:pPr>
        <w:numPr>
          <w:ilvl w:val="0"/>
          <w:numId w:val="30"/>
        </w:num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293032">
        <w:rPr>
          <w:rStyle w:val="normaltextrun"/>
          <w:rFonts w:ascii="Lato" w:hAnsi="Lato"/>
          <w:sz w:val="20"/>
          <w:szCs w:val="20"/>
        </w:rPr>
        <w:t>W przypadku zastosowania leasingu finansowego wydatkiem kwalifikującym się do współfinansowania jest</w:t>
      </w:r>
      <w:r w:rsidRPr="00293032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: </w:t>
      </w:r>
    </w:p>
    <w:p w14:paraId="3120CD81" w14:textId="45EFB491" w:rsidR="00D417EB" w:rsidRPr="00F204B6" w:rsidRDefault="00D417EB" w:rsidP="002E0A71">
      <w:pPr>
        <w:pStyle w:val="Akapitzlist"/>
        <w:numPr>
          <w:ilvl w:val="0"/>
          <w:numId w:val="27"/>
        </w:numPr>
        <w:spacing w:after="120" w:line="360" w:lineRule="auto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kwota przypadająca na część raty leasingowej wystawionej na rzecz </w:t>
      </w:r>
      <w:r w:rsidR="00EC0A20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OOW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związanej ze spłatą kapitału (raty kapitałowej) przedmiotu umowy leasingu, albo</w:t>
      </w:r>
    </w:p>
    <w:p w14:paraId="52789BF0" w14:textId="2B52D8A6" w:rsidR="00D417EB" w:rsidRPr="00F204B6" w:rsidRDefault="00D417EB" w:rsidP="002E0A71">
      <w:pPr>
        <w:pStyle w:val="Akapitzlist"/>
        <w:numPr>
          <w:ilvl w:val="0"/>
          <w:numId w:val="27"/>
        </w:numPr>
        <w:spacing w:after="120" w:line="360" w:lineRule="auto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kwota przypadająca na fakturę nabycia przedmiotu leasingu wystawiona na rzecz leasingodawcy, o ile we wniosku o dofinansowanie projektu leasingodawca został wskazany jako podmiot upoważniony do poniesienia wydatku na zakup leasingowanego dobra</w:t>
      </w:r>
    </w:p>
    <w:p w14:paraId="78032A5D" w14:textId="51CF04C8" w:rsidR="00D417EB" w:rsidRPr="00F204B6" w:rsidRDefault="00D417EB" w:rsidP="002E0A71">
      <w:pPr>
        <w:numPr>
          <w:ilvl w:val="0"/>
          <w:numId w:val="30"/>
        </w:num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W przypadku zastosowania leasingu operacyjnego wydatkiem kwalifikującym się do współfinansowania jest kwota przypadająca na część raty leasingowej wystawionej na rzecz</w:t>
      </w:r>
      <w:r w:rsidR="00EC0A20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OOW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, związanej ze spłatą kapitału przedmiotu umowy leasingu</w:t>
      </w:r>
      <w:r w:rsidR="00293032">
        <w:rPr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2C7D2C5F" w14:textId="1EFAECBF" w:rsidR="00D417EB" w:rsidRPr="00F204B6" w:rsidRDefault="00D417EB" w:rsidP="002E0A71">
      <w:pPr>
        <w:numPr>
          <w:ilvl w:val="0"/>
          <w:numId w:val="30"/>
        </w:num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W przypadku gdy okres obowiązywania umowy leasingu wykracza poza końcową datę kwalifikowalności wydatków, wydatkami kwalifikującymi się do współfinansowania w sytuacji, o której mowa w pkt </w:t>
      </w:r>
      <w:r w:rsidR="00124CF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5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lit. a, są raty leasingowe, zapłacone w okresie kwalifikowalności wydatków wskazanym w umowie o dofinansowanie projektu.</w:t>
      </w:r>
    </w:p>
    <w:p w14:paraId="09F484CA" w14:textId="07C1C1EE" w:rsidR="003C56C0" w:rsidRPr="001A01BA" w:rsidRDefault="000E07B8" w:rsidP="002E0A71">
      <w:pPr>
        <w:pStyle w:val="Akapitzlist"/>
        <w:numPr>
          <w:ilvl w:val="0"/>
          <w:numId w:val="33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b/>
          <w:bCs/>
          <w:sz w:val="20"/>
          <w:szCs w:val="20"/>
        </w:rPr>
      </w:pPr>
      <w:r w:rsidRPr="001A01BA">
        <w:rPr>
          <w:rStyle w:val="normaltextrun"/>
          <w:rFonts w:ascii="Lato" w:hAnsi="Lato" w:cstheme="minorHAnsi"/>
          <w:b/>
          <w:bCs/>
          <w:sz w:val="20"/>
          <w:szCs w:val="20"/>
        </w:rPr>
        <w:t>Ś</w:t>
      </w:r>
      <w:r w:rsidR="003C56C0" w:rsidRPr="001A01BA">
        <w:rPr>
          <w:rStyle w:val="normaltextrun"/>
          <w:rFonts w:ascii="Lato" w:hAnsi="Lato" w:cstheme="minorHAnsi"/>
          <w:b/>
          <w:bCs/>
          <w:sz w:val="20"/>
          <w:szCs w:val="20"/>
        </w:rPr>
        <w:t>rodk</w:t>
      </w:r>
      <w:r w:rsidRPr="001A01BA">
        <w:rPr>
          <w:rStyle w:val="normaltextrun"/>
          <w:rFonts w:ascii="Lato" w:hAnsi="Lato" w:cstheme="minorHAnsi"/>
          <w:b/>
          <w:bCs/>
          <w:sz w:val="20"/>
          <w:szCs w:val="20"/>
        </w:rPr>
        <w:t>i</w:t>
      </w:r>
      <w:r w:rsidR="003C56C0" w:rsidRPr="001A01BA">
        <w:rPr>
          <w:rStyle w:val="normaltextrun"/>
          <w:rFonts w:ascii="Lato" w:hAnsi="Lato" w:cstheme="minorHAnsi"/>
          <w:b/>
          <w:bCs/>
          <w:sz w:val="20"/>
          <w:szCs w:val="20"/>
        </w:rPr>
        <w:t xml:space="preserve"> transportu</w:t>
      </w:r>
    </w:p>
    <w:p w14:paraId="381EDB3D" w14:textId="4A2378D3" w:rsidR="003C56C0" w:rsidRPr="00F204B6" w:rsidRDefault="003C56C0" w:rsidP="003C56C0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94254D">
        <w:rPr>
          <w:rFonts w:ascii="Lato" w:eastAsiaTheme="majorEastAsia" w:hAnsi="Lato" w:cstheme="minorHAnsi"/>
          <w:iCs/>
          <w:kern w:val="32"/>
          <w:sz w:val="20"/>
          <w:szCs w:val="20"/>
        </w:rPr>
        <w:t>Kwalifikowalne są wydatki związane z zakupem środków transportu sanitarnego (karetki), natomiast nie jest kwalifikowalny zakup środków transportu</w:t>
      </w:r>
      <w:r w:rsidRPr="0094254D" w:rsidDel="00ED2591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94254D">
        <w:rPr>
          <w:rFonts w:ascii="Lato" w:eastAsiaTheme="majorEastAsia" w:hAnsi="Lato" w:cstheme="minorHAnsi"/>
          <w:iCs/>
          <w:kern w:val="32"/>
          <w:sz w:val="20"/>
          <w:szCs w:val="20"/>
        </w:rPr>
        <w:t>pasażerskiego w ramach przedsięwzięcia.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</w:p>
    <w:p w14:paraId="12181CAA" w14:textId="68516299" w:rsidR="00AC429D" w:rsidRPr="00F204B6" w:rsidRDefault="00AC429D" w:rsidP="004B0F33">
      <w:pPr>
        <w:pStyle w:val="Nagwek2"/>
        <w:numPr>
          <w:ilvl w:val="0"/>
          <w:numId w:val="11"/>
        </w:numPr>
        <w:spacing w:before="0" w:after="120"/>
        <w:ind w:left="357" w:hanging="357"/>
        <w:rPr>
          <w:rFonts w:ascii="Lato" w:hAnsi="Lato" w:cstheme="minorHAnsi"/>
          <w:i w:val="0"/>
          <w:iCs/>
          <w:sz w:val="20"/>
          <w:szCs w:val="20"/>
        </w:rPr>
      </w:pPr>
      <w:r w:rsidRPr="00F204B6">
        <w:rPr>
          <w:rFonts w:ascii="Lato" w:hAnsi="Lato" w:cstheme="minorHAnsi"/>
          <w:i w:val="0"/>
          <w:iCs/>
          <w:sz w:val="20"/>
          <w:szCs w:val="20"/>
        </w:rPr>
        <w:lastRenderedPageBreak/>
        <w:t xml:space="preserve">Dostawy (inne niż środki trwałe) </w:t>
      </w:r>
    </w:p>
    <w:p w14:paraId="597E42B0" w14:textId="047DE1FA" w:rsidR="00AC429D" w:rsidRPr="00F204B6" w:rsidRDefault="00AC429D" w:rsidP="003056A9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W ramach kategorii </w:t>
      </w:r>
      <w:r w:rsidR="00EC0A20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za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kwalifikowalne mogą zostać </w:t>
      </w:r>
      <w:r w:rsidR="00EC0A20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uznane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wydatki związane z zakupem i dostawą materiałów i środków wymienion</w:t>
      </w:r>
      <w:r w:rsidR="009474F5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ych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w</w:t>
      </w:r>
      <w:r w:rsidR="000E07B8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 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pkt 3,</w:t>
      </w:r>
      <w:r w:rsidR="007A0B96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9474F5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ale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które nie mogą zostać zaliczone do środków trwałych. </w:t>
      </w:r>
    </w:p>
    <w:p w14:paraId="2F5432DC" w14:textId="3F3B1912" w:rsidR="003F0172" w:rsidRPr="00F204B6" w:rsidRDefault="003F0172" w:rsidP="004B0F33">
      <w:pPr>
        <w:pStyle w:val="Nagwek2"/>
        <w:numPr>
          <w:ilvl w:val="0"/>
          <w:numId w:val="11"/>
        </w:numPr>
        <w:spacing w:before="0" w:after="120"/>
        <w:ind w:left="357" w:hanging="357"/>
        <w:rPr>
          <w:rFonts w:ascii="Lato" w:hAnsi="Lato" w:cstheme="minorHAnsi"/>
          <w:i w:val="0"/>
          <w:iCs/>
          <w:sz w:val="20"/>
          <w:szCs w:val="20"/>
        </w:rPr>
      </w:pPr>
      <w:r w:rsidRPr="00F204B6">
        <w:rPr>
          <w:rFonts w:ascii="Lato" w:hAnsi="Lato" w:cstheme="minorHAnsi"/>
          <w:i w:val="0"/>
          <w:iCs/>
          <w:sz w:val="20"/>
          <w:szCs w:val="20"/>
        </w:rPr>
        <w:t>Wartości niematerialne i prawne</w:t>
      </w:r>
    </w:p>
    <w:p w14:paraId="5FFD78D8" w14:textId="7A4C0C69" w:rsidR="00AC429D" w:rsidRPr="00F204B6" w:rsidRDefault="003F0172" w:rsidP="00AE6B06">
      <w:pPr>
        <w:pStyle w:val="Nagwek2"/>
        <w:spacing w:after="120"/>
        <w:rPr>
          <w:rFonts w:ascii="Lato" w:hAnsi="Lato" w:cstheme="minorHAnsi"/>
          <w:b w:val="0"/>
          <w:bCs w:val="0"/>
          <w:i w:val="0"/>
          <w:iCs/>
          <w:sz w:val="20"/>
          <w:szCs w:val="20"/>
        </w:rPr>
      </w:pPr>
      <w:r w:rsidRPr="00F204B6">
        <w:rPr>
          <w:rFonts w:ascii="Lato" w:hAnsi="Lato" w:cstheme="minorHAnsi"/>
          <w:b w:val="0"/>
          <w:bCs w:val="0"/>
          <w:i w:val="0"/>
          <w:iCs/>
          <w:sz w:val="20"/>
          <w:szCs w:val="20"/>
        </w:rPr>
        <w:t>Za kwalifikowalne mogą zostać uznane wydatki związane z nabyciem wartości niematerialnych i prawnych, np. programów i</w:t>
      </w:r>
      <w:r w:rsidR="000E07B8" w:rsidRPr="00F204B6">
        <w:rPr>
          <w:rFonts w:ascii="Lato" w:hAnsi="Lato" w:cstheme="minorHAnsi"/>
          <w:b w:val="0"/>
          <w:bCs w:val="0"/>
          <w:i w:val="0"/>
          <w:iCs/>
          <w:sz w:val="20"/>
          <w:szCs w:val="20"/>
        </w:rPr>
        <w:t> </w:t>
      </w:r>
      <w:r w:rsidRPr="00F204B6">
        <w:rPr>
          <w:rFonts w:ascii="Lato" w:hAnsi="Lato" w:cstheme="minorHAnsi"/>
          <w:b w:val="0"/>
          <w:bCs w:val="0"/>
          <w:i w:val="0"/>
          <w:iCs/>
          <w:sz w:val="20"/>
          <w:szCs w:val="20"/>
        </w:rPr>
        <w:t>licencji (bez urządzeń do ich obsługi) i odpłatnym korzystaniem z</w:t>
      </w:r>
      <w:r w:rsidR="007A0B96" w:rsidRPr="00F204B6">
        <w:rPr>
          <w:rFonts w:ascii="Lato" w:hAnsi="Lato" w:cstheme="minorHAnsi"/>
          <w:b w:val="0"/>
          <w:bCs w:val="0"/>
          <w:i w:val="0"/>
          <w:iCs/>
          <w:sz w:val="20"/>
          <w:szCs w:val="20"/>
        </w:rPr>
        <w:t> </w:t>
      </w:r>
      <w:r w:rsidRPr="00F204B6">
        <w:rPr>
          <w:rFonts w:ascii="Lato" w:hAnsi="Lato" w:cstheme="minorHAnsi"/>
          <w:b w:val="0"/>
          <w:bCs w:val="0"/>
          <w:i w:val="0"/>
          <w:iCs/>
          <w:sz w:val="20"/>
          <w:szCs w:val="20"/>
        </w:rPr>
        <w:t>wartości niematerialnych i prawnych.</w:t>
      </w:r>
    </w:p>
    <w:p w14:paraId="45AC6946" w14:textId="010FFD0A" w:rsidR="003F0172" w:rsidRPr="00F204B6" w:rsidRDefault="003F0172" w:rsidP="004B0F33">
      <w:pPr>
        <w:pStyle w:val="Nagwek2"/>
        <w:numPr>
          <w:ilvl w:val="0"/>
          <w:numId w:val="11"/>
        </w:numPr>
        <w:spacing w:before="0" w:after="120"/>
        <w:ind w:left="357" w:hanging="357"/>
        <w:rPr>
          <w:rFonts w:ascii="Lato" w:hAnsi="Lato" w:cstheme="minorHAnsi"/>
          <w:i w:val="0"/>
          <w:iCs/>
          <w:sz w:val="20"/>
          <w:szCs w:val="20"/>
        </w:rPr>
      </w:pPr>
      <w:r w:rsidRPr="00F204B6">
        <w:rPr>
          <w:rFonts w:ascii="Lato" w:hAnsi="Lato" w:cstheme="minorHAnsi"/>
          <w:i w:val="0"/>
          <w:iCs/>
          <w:sz w:val="20"/>
          <w:szCs w:val="20"/>
        </w:rPr>
        <w:t>Usługi zewnętrzne</w:t>
      </w:r>
    </w:p>
    <w:p w14:paraId="7D25EA27" w14:textId="72B8AD39" w:rsidR="003F0172" w:rsidRPr="00F204B6" w:rsidRDefault="003F0172" w:rsidP="003056A9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Do tej kategorii </w:t>
      </w:r>
      <w:r w:rsidR="009474F5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zakwalifikowane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są wydatki związane z pozyskaniem i korzystaniem z usług lub innych czynności wykonywanych na </w:t>
      </w:r>
      <w:r w:rsidR="00D36D33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rzecz </w:t>
      </w:r>
      <w:r w:rsidR="006B48C1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="000E4DA3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przez podmioty zewnętrzne, w zakresie prac przygotowawczych i projektowych </w:t>
      </w:r>
      <w:r w:rsidR="00432B7B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oraz innych usług specjalistycznych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obejmujących</w:t>
      </w:r>
      <w:r w:rsidR="00432B7B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m.</w:t>
      </w:r>
      <w:r w:rsidR="009A3ECE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432B7B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in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:</w:t>
      </w:r>
    </w:p>
    <w:p w14:paraId="4B79F40D" w14:textId="1D101A73" w:rsidR="003F0172" w:rsidRPr="00F204B6" w:rsidRDefault="003F0172" w:rsidP="002E0A71">
      <w:pPr>
        <w:pStyle w:val="Akapitzlist"/>
        <w:numPr>
          <w:ilvl w:val="0"/>
          <w:numId w:val="18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>dokumentacj</w:t>
      </w:r>
      <w:r w:rsidR="00EA1E54" w:rsidRPr="00F204B6">
        <w:rPr>
          <w:rStyle w:val="normaltextrun"/>
          <w:rFonts w:ascii="Lato" w:hAnsi="Lato" w:cstheme="minorHAnsi"/>
          <w:sz w:val="20"/>
          <w:szCs w:val="20"/>
        </w:rPr>
        <w:t>ę</w:t>
      </w:r>
      <w:r w:rsidRPr="00F204B6">
        <w:rPr>
          <w:rStyle w:val="normaltextrun"/>
          <w:rFonts w:ascii="Lato" w:hAnsi="Lato" w:cstheme="minorHAnsi"/>
          <w:sz w:val="20"/>
          <w:szCs w:val="20"/>
        </w:rPr>
        <w:t xml:space="preserve"> projektow</w:t>
      </w:r>
      <w:r w:rsidR="00EA1E54" w:rsidRPr="00F204B6">
        <w:rPr>
          <w:rStyle w:val="normaltextrun"/>
          <w:rFonts w:ascii="Lato" w:hAnsi="Lato" w:cstheme="minorHAnsi"/>
          <w:sz w:val="20"/>
          <w:szCs w:val="20"/>
        </w:rPr>
        <w:t>ą</w:t>
      </w:r>
      <w:r w:rsidRPr="00F204B6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="00957377" w:rsidRPr="00F204B6">
        <w:rPr>
          <w:rStyle w:val="normaltextrun"/>
          <w:rFonts w:ascii="Lato" w:hAnsi="Lato" w:cstheme="minorHAnsi"/>
          <w:sz w:val="20"/>
          <w:szCs w:val="20"/>
        </w:rPr>
        <w:t>budynków</w:t>
      </w:r>
      <w:r w:rsidR="001A31D2" w:rsidRPr="00F204B6">
        <w:rPr>
          <w:rStyle w:val="normaltextrun"/>
          <w:rFonts w:ascii="Lato" w:hAnsi="Lato" w:cstheme="minorHAnsi"/>
          <w:sz w:val="20"/>
          <w:szCs w:val="20"/>
        </w:rPr>
        <w:t>,</w:t>
      </w:r>
    </w:p>
    <w:p w14:paraId="20947283" w14:textId="6806B616" w:rsidR="003F0172" w:rsidRPr="00F204B6" w:rsidRDefault="003F0172" w:rsidP="002E0A71">
      <w:pPr>
        <w:pStyle w:val="Akapitzlist"/>
        <w:numPr>
          <w:ilvl w:val="0"/>
          <w:numId w:val="18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>dokumentacj</w:t>
      </w:r>
      <w:r w:rsidR="00EA1E54" w:rsidRPr="00F204B6">
        <w:rPr>
          <w:rStyle w:val="normaltextrun"/>
          <w:rFonts w:ascii="Lato" w:hAnsi="Lato" w:cstheme="minorHAnsi"/>
          <w:sz w:val="20"/>
          <w:szCs w:val="20"/>
        </w:rPr>
        <w:t>ę</w:t>
      </w:r>
      <w:r w:rsidRPr="00F204B6">
        <w:rPr>
          <w:rStyle w:val="normaltextrun"/>
          <w:rFonts w:ascii="Lato" w:hAnsi="Lato" w:cstheme="minorHAnsi"/>
          <w:sz w:val="20"/>
          <w:szCs w:val="20"/>
        </w:rPr>
        <w:t xml:space="preserve"> powykonawcz</w:t>
      </w:r>
      <w:r w:rsidR="00EA1E54" w:rsidRPr="00F204B6">
        <w:rPr>
          <w:rStyle w:val="normaltextrun"/>
          <w:rFonts w:ascii="Lato" w:hAnsi="Lato" w:cstheme="minorHAnsi"/>
          <w:sz w:val="20"/>
          <w:szCs w:val="20"/>
        </w:rPr>
        <w:t>ą</w:t>
      </w:r>
      <w:r w:rsidRPr="00F204B6">
        <w:rPr>
          <w:rStyle w:val="normaltextrun"/>
          <w:rFonts w:ascii="Lato" w:hAnsi="Lato" w:cstheme="minorHAnsi"/>
          <w:sz w:val="20"/>
          <w:szCs w:val="20"/>
        </w:rPr>
        <w:t xml:space="preserve"> oraz sprawdzenia prac projektowych,</w:t>
      </w:r>
    </w:p>
    <w:p w14:paraId="79F9D29E" w14:textId="1A87A3E1" w:rsidR="003F0172" w:rsidRPr="00F204B6" w:rsidRDefault="003F0172" w:rsidP="002E0A71">
      <w:pPr>
        <w:pStyle w:val="Akapitzlist"/>
        <w:numPr>
          <w:ilvl w:val="0"/>
          <w:numId w:val="18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>nadz</w:t>
      </w:r>
      <w:r w:rsidR="00EA1E54" w:rsidRPr="00F204B6">
        <w:rPr>
          <w:rStyle w:val="normaltextrun"/>
          <w:rFonts w:ascii="Lato" w:hAnsi="Lato" w:cstheme="minorHAnsi"/>
          <w:sz w:val="20"/>
          <w:szCs w:val="20"/>
        </w:rPr>
        <w:t>ór</w:t>
      </w:r>
      <w:r w:rsidRPr="00F204B6">
        <w:rPr>
          <w:rStyle w:val="normaltextrun"/>
          <w:rFonts w:ascii="Lato" w:hAnsi="Lato" w:cstheme="minorHAnsi"/>
          <w:sz w:val="20"/>
          <w:szCs w:val="20"/>
        </w:rPr>
        <w:t xml:space="preserve"> autorski,</w:t>
      </w:r>
    </w:p>
    <w:p w14:paraId="7926E3B9" w14:textId="33A70660" w:rsidR="003F0172" w:rsidRPr="00F204B6" w:rsidRDefault="00EA1E54" w:rsidP="002E0A71">
      <w:pPr>
        <w:pStyle w:val="Akapitzlist"/>
        <w:numPr>
          <w:ilvl w:val="0"/>
          <w:numId w:val="18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>s</w:t>
      </w:r>
      <w:r w:rsidR="003F0172" w:rsidRPr="00F204B6">
        <w:rPr>
          <w:rStyle w:val="normaltextrun"/>
          <w:rFonts w:ascii="Lato" w:hAnsi="Lato" w:cstheme="minorHAnsi"/>
          <w:sz w:val="20"/>
          <w:szCs w:val="20"/>
        </w:rPr>
        <w:t>porządzani</w:t>
      </w:r>
      <w:r w:rsidRPr="00F204B6">
        <w:rPr>
          <w:rStyle w:val="normaltextrun"/>
          <w:rFonts w:ascii="Lato" w:hAnsi="Lato" w:cstheme="minorHAnsi"/>
          <w:sz w:val="20"/>
          <w:szCs w:val="20"/>
        </w:rPr>
        <w:t>e</w:t>
      </w:r>
      <w:r w:rsidR="003F0172" w:rsidRPr="00F204B6">
        <w:rPr>
          <w:rStyle w:val="normaltextrun"/>
          <w:rFonts w:ascii="Lato" w:hAnsi="Lato" w:cstheme="minorHAnsi"/>
          <w:sz w:val="20"/>
          <w:szCs w:val="20"/>
        </w:rPr>
        <w:t xml:space="preserve"> przedmiarów i kosztorysów,</w:t>
      </w:r>
    </w:p>
    <w:p w14:paraId="4F57C86B" w14:textId="4E9C2D7B" w:rsidR="003F0172" w:rsidRPr="00F204B6" w:rsidRDefault="0020157C" w:rsidP="002E0A71">
      <w:pPr>
        <w:pStyle w:val="Akapitzlist"/>
        <w:numPr>
          <w:ilvl w:val="0"/>
          <w:numId w:val="18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>eksper</w:t>
      </w:r>
      <w:r w:rsidR="003F0172" w:rsidRPr="00F204B6">
        <w:rPr>
          <w:rStyle w:val="normaltextrun"/>
          <w:rFonts w:ascii="Lato" w:hAnsi="Lato" w:cstheme="minorHAnsi"/>
          <w:sz w:val="20"/>
          <w:szCs w:val="20"/>
        </w:rPr>
        <w:t xml:space="preserve">tyzy, świadectwa, operaty, studia, </w:t>
      </w:r>
    </w:p>
    <w:p w14:paraId="3CDC8F76" w14:textId="0626FD3E" w:rsidR="00432B7B" w:rsidRPr="00F204B6" w:rsidRDefault="00432B7B" w:rsidP="002E0A71">
      <w:pPr>
        <w:pStyle w:val="Akapitzlist"/>
        <w:numPr>
          <w:ilvl w:val="0"/>
          <w:numId w:val="18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>usługi doradcze</w:t>
      </w:r>
      <w:r w:rsidR="002D0F6D" w:rsidRPr="00F204B6">
        <w:rPr>
          <w:rStyle w:val="normaltextrun"/>
          <w:rFonts w:ascii="Lato" w:hAnsi="Lato" w:cstheme="minorHAnsi"/>
          <w:sz w:val="20"/>
          <w:szCs w:val="20"/>
        </w:rPr>
        <w:t xml:space="preserve"> – techniczne, finansowe i prawne</w:t>
      </w:r>
      <w:r w:rsidRPr="00F204B6">
        <w:rPr>
          <w:rStyle w:val="normaltextrun"/>
          <w:rFonts w:ascii="Lato" w:hAnsi="Lato" w:cstheme="minorHAnsi"/>
          <w:sz w:val="20"/>
          <w:szCs w:val="20"/>
        </w:rPr>
        <w:t>,</w:t>
      </w:r>
    </w:p>
    <w:p w14:paraId="607946FA" w14:textId="481E547D" w:rsidR="008B55B8" w:rsidRPr="005A0FF7" w:rsidRDefault="002C46E4" w:rsidP="002E0A71">
      <w:pPr>
        <w:pStyle w:val="Akapitzlist"/>
        <w:numPr>
          <w:ilvl w:val="0"/>
          <w:numId w:val="18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>nadzór inwestorski, zastępstwo inwestorskie</w:t>
      </w:r>
      <w:r w:rsidR="004350FB" w:rsidRPr="00F204B6">
        <w:rPr>
          <w:rStyle w:val="normaltextrun"/>
          <w:rFonts w:ascii="Lato" w:hAnsi="Lato" w:cstheme="minorHAnsi"/>
          <w:sz w:val="20"/>
          <w:szCs w:val="20"/>
        </w:rPr>
        <w:t>,</w:t>
      </w:r>
    </w:p>
    <w:p w14:paraId="077C7496" w14:textId="60B37E9F" w:rsidR="008B55B8" w:rsidRPr="005A0FF7" w:rsidRDefault="004350FB" w:rsidP="002E0A71">
      <w:pPr>
        <w:pStyle w:val="Akapitzlist"/>
        <w:numPr>
          <w:ilvl w:val="0"/>
          <w:numId w:val="18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5A0FF7">
        <w:rPr>
          <w:rStyle w:val="normaltextrun"/>
          <w:rFonts w:ascii="Lato" w:hAnsi="Lato" w:cstheme="minorHAnsi"/>
          <w:sz w:val="20"/>
          <w:szCs w:val="20"/>
        </w:rPr>
        <w:t>uporządkowanie terenu po inwestycji</w:t>
      </w:r>
      <w:r w:rsidR="008B55B8" w:rsidRPr="005A0FF7">
        <w:rPr>
          <w:rStyle w:val="normaltextrun"/>
          <w:rFonts w:ascii="Lato" w:hAnsi="Lato" w:cstheme="minorHAnsi"/>
          <w:sz w:val="20"/>
          <w:szCs w:val="20"/>
        </w:rPr>
        <w:t xml:space="preserve">, </w:t>
      </w:r>
    </w:p>
    <w:p w14:paraId="5557549F" w14:textId="611E29D3" w:rsidR="004350FB" w:rsidRDefault="008B55B8" w:rsidP="002E0A71">
      <w:pPr>
        <w:pStyle w:val="Akapitzlist"/>
        <w:numPr>
          <w:ilvl w:val="0"/>
          <w:numId w:val="18"/>
        </w:numPr>
        <w:spacing w:after="120" w:line="360" w:lineRule="auto"/>
        <w:ind w:left="714" w:hanging="357"/>
        <w:contextualSpacing w:val="0"/>
        <w:rPr>
          <w:rFonts w:ascii="Lato" w:hAnsi="Lato" w:cstheme="minorHAnsi"/>
          <w:iCs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 xml:space="preserve">dostosowanie do wymogów związanych z </w:t>
      </w:r>
      <w:r w:rsidR="004350FB" w:rsidRPr="00F204B6">
        <w:rPr>
          <w:rStyle w:val="normaltextrun"/>
          <w:rFonts w:ascii="Lato" w:hAnsi="Lato" w:cstheme="minorHAnsi"/>
          <w:sz w:val="20"/>
          <w:szCs w:val="20"/>
        </w:rPr>
        <w:t xml:space="preserve">ochroną środowiska. </w:t>
      </w:r>
      <w:r w:rsidR="004350FB" w:rsidRPr="00F204B6">
        <w:rPr>
          <w:rFonts w:ascii="Lato" w:hAnsi="Lato" w:cstheme="minorHAnsi"/>
          <w:iCs/>
          <w:sz w:val="20"/>
          <w:szCs w:val="20"/>
        </w:rPr>
        <w:t xml:space="preserve">Za kwalifikowalne mogą zostać koszty działań związanych z ochroną środowiska, takie jak systemy oczyszczania i rekultywacja terenu oraz koszty </w:t>
      </w:r>
      <w:r w:rsidR="008A7FF7" w:rsidRPr="00F204B6">
        <w:rPr>
          <w:rFonts w:ascii="Lato" w:hAnsi="Lato" w:cstheme="minorHAnsi"/>
          <w:iCs/>
          <w:sz w:val="20"/>
          <w:szCs w:val="20"/>
        </w:rPr>
        <w:t xml:space="preserve">konieczne do poniesienia w celu </w:t>
      </w:r>
      <w:r w:rsidR="004350FB" w:rsidRPr="00F204B6">
        <w:rPr>
          <w:rFonts w:ascii="Lato" w:hAnsi="Lato" w:cstheme="minorHAnsi"/>
          <w:iCs/>
          <w:sz w:val="20"/>
          <w:szCs w:val="20"/>
        </w:rPr>
        <w:t>uzyskania niezbędnych pozwoleń środowiskowych</w:t>
      </w:r>
      <w:r w:rsidR="0094254D">
        <w:rPr>
          <w:rFonts w:ascii="Lato" w:hAnsi="Lato" w:cstheme="minorHAnsi"/>
          <w:iCs/>
          <w:sz w:val="20"/>
          <w:szCs w:val="20"/>
        </w:rPr>
        <w:t>.</w:t>
      </w:r>
    </w:p>
    <w:p w14:paraId="6B29C282" w14:textId="345943B5" w:rsidR="0094254D" w:rsidRPr="0094254D" w:rsidRDefault="0094254D" w:rsidP="0094254D">
      <w:pPr>
        <w:spacing w:after="120" w:line="360" w:lineRule="auto"/>
        <w:rPr>
          <w:rFonts w:ascii="Lato" w:hAnsi="Lato" w:cstheme="minorHAnsi"/>
          <w:iCs/>
          <w:sz w:val="20"/>
          <w:szCs w:val="20"/>
        </w:rPr>
      </w:pPr>
      <w:r w:rsidRPr="00035C89">
        <w:rPr>
          <w:rFonts w:ascii="Lato" w:hAnsi="Lato" w:cstheme="minorHAnsi"/>
          <w:b/>
          <w:bCs/>
          <w:sz w:val="20"/>
          <w:szCs w:val="20"/>
          <w:u w:val="single"/>
        </w:rPr>
        <w:t>Koszt opracowania dokumentacji aplikacyjnej w ramach przedmiotowego naboru nie stanowi kosztu kwalifikowalnego</w:t>
      </w:r>
      <w:r w:rsidRPr="00422296">
        <w:rPr>
          <w:rFonts w:ascii="Lato" w:hAnsi="Lato" w:cstheme="minorHAnsi"/>
          <w:sz w:val="20"/>
          <w:szCs w:val="20"/>
          <w:u w:val="single"/>
        </w:rPr>
        <w:t>.</w:t>
      </w:r>
    </w:p>
    <w:p w14:paraId="4C1B385A" w14:textId="707F3127" w:rsidR="005A0FF7" w:rsidRPr="0094254D" w:rsidRDefault="005A0FF7" w:rsidP="0094254D">
      <w:pPr>
        <w:pStyle w:val="Akapitzlist"/>
        <w:spacing w:after="120" w:line="360" w:lineRule="auto"/>
        <w:ind w:left="714"/>
        <w:contextualSpacing w:val="0"/>
        <w:rPr>
          <w:rFonts w:ascii="Lato" w:hAnsi="Lato" w:cstheme="minorHAnsi"/>
          <w:sz w:val="20"/>
          <w:szCs w:val="20"/>
        </w:rPr>
      </w:pPr>
    </w:p>
    <w:p w14:paraId="6CF6D422" w14:textId="14A9B3D6" w:rsidR="0094254D" w:rsidRDefault="0094254D" w:rsidP="0094254D">
      <w:pPr>
        <w:pStyle w:val="Nagwek2"/>
        <w:numPr>
          <w:ilvl w:val="0"/>
          <w:numId w:val="11"/>
        </w:numPr>
        <w:spacing w:before="0" w:after="120"/>
        <w:ind w:left="357" w:hanging="357"/>
        <w:rPr>
          <w:rStyle w:val="normaltextrun"/>
          <w:rFonts w:ascii="Lato" w:hAnsi="Lato" w:cstheme="minorHAnsi"/>
          <w:i w:val="0"/>
          <w:iCs/>
          <w:sz w:val="20"/>
          <w:szCs w:val="20"/>
        </w:rPr>
      </w:pPr>
      <w:r w:rsidRPr="0094254D">
        <w:rPr>
          <w:rStyle w:val="normaltextrun"/>
          <w:rFonts w:ascii="Lato" w:hAnsi="Lato" w:cstheme="minorHAnsi"/>
          <w:i w:val="0"/>
          <w:iCs/>
          <w:sz w:val="20"/>
          <w:szCs w:val="20"/>
        </w:rPr>
        <w:t>Koszty promocji i informacji</w:t>
      </w:r>
    </w:p>
    <w:p w14:paraId="4E377D8B" w14:textId="505E8631" w:rsidR="000C10ED" w:rsidRPr="009A3ECE" w:rsidRDefault="0094254D" w:rsidP="001D3D91">
      <w:pPr>
        <w:spacing w:line="360" w:lineRule="auto"/>
      </w:pPr>
      <w:r w:rsidRPr="00F204B6">
        <w:rPr>
          <w:rFonts w:ascii="Lato" w:hAnsi="Lato" w:cstheme="minorHAnsi"/>
          <w:iCs/>
          <w:sz w:val="20"/>
          <w:szCs w:val="20"/>
        </w:rPr>
        <w:t xml:space="preserve">Za kwalifikowalne mogą zostać </w:t>
      </w:r>
      <w:r w:rsidR="00EC0A20">
        <w:rPr>
          <w:rFonts w:ascii="Lato" w:hAnsi="Lato" w:cstheme="minorHAnsi"/>
          <w:iCs/>
          <w:sz w:val="20"/>
          <w:szCs w:val="20"/>
        </w:rPr>
        <w:t xml:space="preserve">uznane </w:t>
      </w:r>
      <w:r w:rsidRPr="00F204B6">
        <w:rPr>
          <w:rFonts w:ascii="Lato" w:hAnsi="Lato" w:cstheme="minorHAnsi"/>
          <w:iCs/>
          <w:sz w:val="20"/>
          <w:szCs w:val="20"/>
        </w:rPr>
        <w:t xml:space="preserve">koszty działań promocyjnych związanych z projektem, takich jak kampanie informacyjne, ulotki, broszury oraz koszty organizacji konferencji, seminariów i spotkań informacyjnych.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Wydatki na promocję i informację </w:t>
      </w:r>
      <w:r w:rsidR="0056034E" w:rsidRPr="0056034E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nie mogą wynosić więcej niż </w:t>
      </w:r>
      <w:r w:rsidR="004B06A7">
        <w:rPr>
          <w:rFonts w:ascii="Lato" w:eastAsiaTheme="majorEastAsia" w:hAnsi="Lato" w:cstheme="minorHAnsi"/>
          <w:b/>
          <w:bCs/>
          <w:iCs/>
          <w:kern w:val="32"/>
          <w:sz w:val="20"/>
          <w:szCs w:val="20"/>
        </w:rPr>
        <w:t>5</w:t>
      </w:r>
      <w:r w:rsidR="0056034E" w:rsidRPr="0056034E">
        <w:rPr>
          <w:rFonts w:ascii="Lato" w:eastAsiaTheme="majorEastAsia" w:hAnsi="Lato" w:cstheme="minorHAnsi"/>
          <w:b/>
          <w:bCs/>
          <w:iCs/>
          <w:kern w:val="32"/>
          <w:sz w:val="20"/>
          <w:szCs w:val="20"/>
        </w:rPr>
        <w:t xml:space="preserve"> %</w:t>
      </w:r>
      <w:r w:rsidR="0056034E" w:rsidRPr="0056034E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wydatków kwalifikowalnych i jednocześnie nie więcej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niż </w:t>
      </w:r>
      <w:r w:rsidRPr="0094254D">
        <w:rPr>
          <w:rFonts w:ascii="Lato" w:eastAsiaTheme="majorEastAsia" w:hAnsi="Lato" w:cstheme="minorHAnsi"/>
          <w:b/>
          <w:bCs/>
          <w:iCs/>
          <w:kern w:val="32"/>
          <w:sz w:val="20"/>
          <w:szCs w:val="20"/>
        </w:rPr>
        <w:t>150 tys. zł</w:t>
      </w:r>
      <w:r w:rsidRPr="0094254D">
        <w:rPr>
          <w:rFonts w:ascii="Lato" w:eastAsiaTheme="majorEastAsia" w:hAnsi="Lato" w:cstheme="minorHAnsi"/>
          <w:iCs/>
          <w:kern w:val="32"/>
          <w:sz w:val="20"/>
          <w:szCs w:val="20"/>
        </w:rPr>
        <w:t>.</w:t>
      </w:r>
    </w:p>
    <w:bookmarkEnd w:id="21"/>
    <w:p w14:paraId="5DBE2786" w14:textId="13EB561E" w:rsidR="00132185" w:rsidRPr="00F204B6" w:rsidRDefault="00F30652" w:rsidP="004B0F33">
      <w:pPr>
        <w:pStyle w:val="Nagwek2"/>
        <w:numPr>
          <w:ilvl w:val="0"/>
          <w:numId w:val="11"/>
        </w:numPr>
        <w:spacing w:before="0" w:after="120"/>
        <w:ind w:left="357" w:hanging="357"/>
        <w:rPr>
          <w:rFonts w:ascii="Lato" w:hAnsi="Lato" w:cstheme="minorHAnsi"/>
          <w:i w:val="0"/>
          <w:iCs/>
          <w:sz w:val="20"/>
          <w:szCs w:val="20"/>
        </w:rPr>
      </w:pPr>
      <w:r w:rsidRPr="00F204B6">
        <w:rPr>
          <w:rFonts w:ascii="Lato" w:hAnsi="Lato" w:cstheme="minorHAnsi"/>
          <w:i w:val="0"/>
          <w:iCs/>
          <w:sz w:val="20"/>
          <w:szCs w:val="20"/>
        </w:rPr>
        <w:lastRenderedPageBreak/>
        <w:t xml:space="preserve">Koszty wsparcia uczestników projektu </w:t>
      </w:r>
      <w:r w:rsidR="005B45D8" w:rsidRPr="00F204B6">
        <w:rPr>
          <w:rFonts w:ascii="Lato" w:hAnsi="Lato" w:cstheme="minorHAnsi"/>
          <w:i w:val="0"/>
          <w:iCs/>
          <w:sz w:val="20"/>
          <w:szCs w:val="20"/>
        </w:rPr>
        <w:t>(</w:t>
      </w:r>
      <w:r w:rsidRPr="00F204B6">
        <w:rPr>
          <w:rFonts w:ascii="Lato" w:hAnsi="Lato" w:cstheme="minorHAnsi"/>
          <w:i w:val="0"/>
          <w:iCs/>
          <w:sz w:val="20"/>
          <w:szCs w:val="20"/>
        </w:rPr>
        <w:t>k</w:t>
      </w:r>
      <w:r w:rsidR="00132185" w:rsidRPr="00F204B6">
        <w:rPr>
          <w:rFonts w:ascii="Lato" w:hAnsi="Lato" w:cstheme="minorHAnsi"/>
          <w:i w:val="0"/>
          <w:iCs/>
          <w:sz w:val="20"/>
          <w:szCs w:val="20"/>
        </w:rPr>
        <w:t xml:space="preserve">oszty </w:t>
      </w:r>
      <w:r w:rsidR="006523C5" w:rsidRPr="00F204B6">
        <w:rPr>
          <w:rFonts w:ascii="Lato" w:hAnsi="Lato" w:cstheme="minorHAnsi"/>
          <w:i w:val="0"/>
          <w:iCs/>
          <w:sz w:val="20"/>
          <w:szCs w:val="20"/>
        </w:rPr>
        <w:t>szkoleń i edukacji</w:t>
      </w:r>
      <w:r w:rsidRPr="00F204B6">
        <w:rPr>
          <w:rFonts w:ascii="Lato" w:hAnsi="Lato" w:cstheme="minorHAnsi"/>
          <w:i w:val="0"/>
          <w:iCs/>
          <w:sz w:val="20"/>
          <w:szCs w:val="20"/>
        </w:rPr>
        <w:t>)</w:t>
      </w:r>
    </w:p>
    <w:p w14:paraId="187BB8CA" w14:textId="067164E6" w:rsidR="00007CDD" w:rsidRPr="00F204B6" w:rsidRDefault="00132185" w:rsidP="003056A9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Kwalifikowalne są </w:t>
      </w:r>
      <w:r w:rsidR="00007CDD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wydatki związane </w:t>
      </w:r>
      <w:r w:rsidR="008D7253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z przeprowadzeniem</w:t>
      </w:r>
      <w:r w:rsidR="002D0F6D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szkoleń dla personelu obsługującego infrastrukturę </w:t>
      </w:r>
      <w:r w:rsidR="00AC7742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oraz sprzęt i aparaturę medyczną</w:t>
      </w:r>
      <w:r w:rsidR="002D0F6D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AC7742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zakupioną </w:t>
      </w:r>
      <w:r w:rsidR="002D0F6D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w ramach przedsięwzięcia oraz koszty edukacyjne związane z wdrażaniem nowych technologii lub procesów</w:t>
      </w:r>
      <w:r w:rsidR="00007CDD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.</w:t>
      </w:r>
    </w:p>
    <w:p w14:paraId="42EF2196" w14:textId="2D9004CE" w:rsidR="0048229C" w:rsidRPr="00F204B6" w:rsidRDefault="001E4D86" w:rsidP="003056A9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Wydatki na </w:t>
      </w:r>
      <w:r w:rsidR="006523C5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szkolenia i edukację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nie mogą </w:t>
      </w:r>
      <w:r w:rsidR="006523C5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wynosić</w:t>
      </w:r>
      <w:r w:rsidR="00F43B2C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więcej</w:t>
      </w:r>
      <w:r w:rsidR="006523C5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F43B2C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niż </w:t>
      </w:r>
      <w:r w:rsidR="00F43B2C">
        <w:rPr>
          <w:rFonts w:ascii="Lato" w:eastAsiaTheme="majorEastAsia" w:hAnsi="Lato" w:cstheme="minorHAnsi"/>
          <w:b/>
          <w:bCs/>
          <w:iCs/>
          <w:kern w:val="32"/>
          <w:sz w:val="20"/>
          <w:szCs w:val="20"/>
        </w:rPr>
        <w:t xml:space="preserve">5 </w:t>
      </w:r>
      <w:r w:rsidR="00F43B2C" w:rsidRPr="00442D91">
        <w:rPr>
          <w:rFonts w:ascii="Lato" w:eastAsiaTheme="majorEastAsia" w:hAnsi="Lato" w:cstheme="minorHAnsi"/>
          <w:b/>
          <w:bCs/>
          <w:iCs/>
          <w:kern w:val="32"/>
          <w:sz w:val="20"/>
          <w:szCs w:val="20"/>
        </w:rPr>
        <w:t>%</w:t>
      </w:r>
      <w:r w:rsidR="00F43B2C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wydatków kwalifikowalnych i jednocześnie nie więcej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niż </w:t>
      </w:r>
      <w:r w:rsidR="006523C5" w:rsidRPr="0094254D">
        <w:rPr>
          <w:rFonts w:ascii="Lato" w:eastAsiaTheme="majorEastAsia" w:hAnsi="Lato" w:cstheme="minorHAnsi"/>
          <w:b/>
          <w:bCs/>
          <w:iCs/>
          <w:kern w:val="32"/>
          <w:sz w:val="20"/>
          <w:szCs w:val="20"/>
        </w:rPr>
        <w:t>200 tys. zł</w:t>
      </w:r>
      <w:r w:rsidRPr="0094254D">
        <w:rPr>
          <w:rFonts w:ascii="Lato" w:eastAsiaTheme="majorEastAsia" w:hAnsi="Lato" w:cstheme="minorHAnsi"/>
          <w:iCs/>
          <w:kern w:val="32"/>
          <w:sz w:val="20"/>
          <w:szCs w:val="20"/>
        </w:rPr>
        <w:t>.</w:t>
      </w:r>
    </w:p>
    <w:p w14:paraId="622238F5" w14:textId="0C412B13" w:rsidR="006523C5" w:rsidRPr="00F204B6" w:rsidRDefault="00F30652" w:rsidP="006523C5">
      <w:pPr>
        <w:pStyle w:val="Nagwek2"/>
        <w:numPr>
          <w:ilvl w:val="0"/>
          <w:numId w:val="11"/>
        </w:numPr>
        <w:spacing w:before="0" w:after="120"/>
        <w:ind w:left="357" w:hanging="357"/>
        <w:rPr>
          <w:rFonts w:ascii="Lato" w:hAnsi="Lato" w:cstheme="minorHAnsi"/>
          <w:i w:val="0"/>
          <w:iCs/>
          <w:sz w:val="20"/>
          <w:szCs w:val="20"/>
        </w:rPr>
      </w:pPr>
      <w:r w:rsidRPr="00F204B6">
        <w:rPr>
          <w:rFonts w:ascii="Lato" w:hAnsi="Lato" w:cstheme="minorHAnsi"/>
          <w:i w:val="0"/>
          <w:iCs/>
          <w:sz w:val="20"/>
          <w:szCs w:val="20"/>
        </w:rPr>
        <w:t>Podatki i opłaty</w:t>
      </w:r>
    </w:p>
    <w:p w14:paraId="6CC9A792" w14:textId="3D0ADD88" w:rsidR="006523C5" w:rsidRPr="00F204B6" w:rsidRDefault="006523C5" w:rsidP="003056A9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W ramach kategorii kwalifikowalne mogą zostać koszty finansowe tj</w:t>
      </w:r>
      <w:r w:rsidR="00103459">
        <w:rPr>
          <w:rFonts w:ascii="Lato" w:eastAsiaTheme="majorEastAsia" w:hAnsi="Lato" w:cstheme="minorHAnsi"/>
          <w:iCs/>
          <w:kern w:val="32"/>
          <w:sz w:val="20"/>
          <w:szCs w:val="20"/>
        </w:rPr>
        <w:t>.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:</w:t>
      </w:r>
    </w:p>
    <w:p w14:paraId="18547CC0" w14:textId="77AB3DF4" w:rsidR="006523C5" w:rsidRPr="00F204B6" w:rsidRDefault="006523C5" w:rsidP="002E0A71">
      <w:pPr>
        <w:pStyle w:val="Akapitzlist"/>
        <w:numPr>
          <w:ilvl w:val="0"/>
          <w:numId w:val="24"/>
        </w:numPr>
        <w:spacing w:after="120" w:line="360" w:lineRule="auto"/>
        <w:ind w:left="714" w:hanging="357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opłaty notarialne, opłaty administracyjne związane z uzyskiwaniem wszelkiego rodzaju </w:t>
      </w:r>
      <w:r w:rsidR="008D7253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pozwoleń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czy zgód niezbędnych do realizacji projektu, o ile faktycznie zostały poniesione przez </w:t>
      </w:r>
      <w:r w:rsidR="00EC0A20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OOW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(np. przyłączenia do sieci energetycznej),</w:t>
      </w:r>
    </w:p>
    <w:p w14:paraId="7C429149" w14:textId="57E12D2D" w:rsidR="006523C5" w:rsidRPr="00F204B6" w:rsidRDefault="006523C5" w:rsidP="002E0A71">
      <w:pPr>
        <w:pStyle w:val="Akapitzlist"/>
        <w:numPr>
          <w:ilvl w:val="0"/>
          <w:numId w:val="24"/>
        </w:numPr>
        <w:spacing w:after="120" w:line="360" w:lineRule="auto"/>
        <w:ind w:left="714" w:hanging="357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koszty ubezpieczeń lub gwarancji bankowych, o ile są wymagane przez przepisy prawa, z wyłączeniem wydatków na ubezpieczenia dotyczących fazy eksploatacyjnej projektu,</w:t>
      </w:r>
    </w:p>
    <w:p w14:paraId="193C372D" w14:textId="3C9FDE7E" w:rsidR="006523C5" w:rsidRPr="00035C89" w:rsidRDefault="00EE7C0D" w:rsidP="002E0A71">
      <w:pPr>
        <w:pStyle w:val="Akapitzlist"/>
        <w:numPr>
          <w:ilvl w:val="0"/>
          <w:numId w:val="24"/>
        </w:numPr>
        <w:spacing w:after="120" w:line="360" w:lineRule="auto"/>
        <w:ind w:left="714" w:hanging="357"/>
        <w:contextualSpacing w:val="0"/>
        <w:rPr>
          <w:rFonts w:ascii="Lato" w:eastAsiaTheme="majorEastAsia" w:hAnsi="Lato" w:cstheme="minorHAnsi"/>
          <w:b/>
          <w:bCs/>
          <w:iCs/>
          <w:color w:val="000000" w:themeColor="text1"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i</w:t>
      </w:r>
      <w:r w:rsidR="006523C5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nne opłaty administracyjne związane bezpośrednio z realizacją projektu</w:t>
      </w:r>
      <w:r w:rsidR="008C471D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8C471D" w:rsidRPr="0094254D">
        <w:rPr>
          <w:rFonts w:ascii="Lato" w:eastAsiaTheme="majorEastAsia" w:hAnsi="Lato" w:cstheme="minorHAnsi"/>
          <w:iCs/>
          <w:color w:val="000000" w:themeColor="text1"/>
          <w:kern w:val="32"/>
          <w:sz w:val="20"/>
          <w:szCs w:val="20"/>
        </w:rPr>
        <w:t>(</w:t>
      </w:r>
      <w:r w:rsidR="0094254D" w:rsidRPr="0094254D">
        <w:rPr>
          <w:rFonts w:ascii="Lato" w:eastAsiaTheme="majorEastAsia" w:hAnsi="Lato" w:cstheme="minorHAnsi"/>
          <w:iCs/>
          <w:color w:val="000000" w:themeColor="text1"/>
          <w:kern w:val="32"/>
          <w:sz w:val="20"/>
          <w:szCs w:val="20"/>
        </w:rPr>
        <w:t xml:space="preserve">nie dotyczy </w:t>
      </w:r>
      <w:r w:rsidR="008C471D" w:rsidRPr="0094254D">
        <w:rPr>
          <w:rFonts w:ascii="Lato" w:eastAsiaTheme="majorEastAsia" w:hAnsi="Lato" w:cstheme="minorHAnsi"/>
          <w:iCs/>
          <w:color w:val="000000" w:themeColor="text1"/>
          <w:kern w:val="32"/>
          <w:sz w:val="20"/>
          <w:szCs w:val="20"/>
        </w:rPr>
        <w:t>opłaty za OCI</w:t>
      </w:r>
      <w:r w:rsidR="00BB7C6E" w:rsidRPr="0094254D">
        <w:rPr>
          <w:rFonts w:ascii="Lato" w:eastAsiaTheme="majorEastAsia" w:hAnsi="Lato" w:cstheme="minorHAnsi"/>
          <w:iCs/>
          <w:color w:val="000000" w:themeColor="text1"/>
          <w:kern w:val="32"/>
          <w:sz w:val="20"/>
          <w:szCs w:val="20"/>
        </w:rPr>
        <w:t xml:space="preserve"> rozdz. 1 </w:t>
      </w:r>
      <w:proofErr w:type="spellStart"/>
      <w:r w:rsidR="00BB7C6E" w:rsidRPr="0094254D">
        <w:rPr>
          <w:rFonts w:ascii="Lato" w:eastAsiaTheme="majorEastAsia" w:hAnsi="Lato" w:cstheme="minorHAnsi"/>
          <w:iCs/>
          <w:color w:val="000000" w:themeColor="text1"/>
          <w:kern w:val="32"/>
          <w:sz w:val="20"/>
          <w:szCs w:val="20"/>
        </w:rPr>
        <w:t>pkt.3</w:t>
      </w:r>
      <w:proofErr w:type="spellEnd"/>
      <w:r w:rsidR="00BB7C6E" w:rsidRPr="0094254D">
        <w:rPr>
          <w:rFonts w:ascii="Lato" w:eastAsiaTheme="majorEastAsia" w:hAnsi="Lato" w:cstheme="minorHAnsi"/>
          <w:iCs/>
          <w:color w:val="000000" w:themeColor="text1"/>
          <w:kern w:val="32"/>
          <w:sz w:val="20"/>
          <w:szCs w:val="20"/>
        </w:rPr>
        <w:t xml:space="preserve"> </w:t>
      </w:r>
      <w:proofErr w:type="spellStart"/>
      <w:r w:rsidR="00BB7C6E" w:rsidRPr="0094254D">
        <w:rPr>
          <w:rFonts w:ascii="Lato" w:eastAsiaTheme="majorEastAsia" w:hAnsi="Lato" w:cstheme="minorHAnsi"/>
          <w:iCs/>
          <w:color w:val="000000" w:themeColor="text1"/>
          <w:kern w:val="32"/>
          <w:sz w:val="20"/>
          <w:szCs w:val="20"/>
        </w:rPr>
        <w:t>ppkt</w:t>
      </w:r>
      <w:proofErr w:type="spellEnd"/>
      <w:r w:rsidR="00BB7C6E" w:rsidRPr="0094254D">
        <w:rPr>
          <w:rFonts w:ascii="Lato" w:eastAsiaTheme="majorEastAsia" w:hAnsi="Lato" w:cstheme="minorHAnsi"/>
          <w:iCs/>
          <w:color w:val="000000" w:themeColor="text1"/>
          <w:kern w:val="32"/>
          <w:sz w:val="20"/>
          <w:szCs w:val="20"/>
        </w:rPr>
        <w:t xml:space="preserve">. </w:t>
      </w:r>
      <w:r w:rsidR="0094254D" w:rsidRPr="0094254D">
        <w:rPr>
          <w:rFonts w:ascii="Lato" w:eastAsiaTheme="majorEastAsia" w:hAnsi="Lato" w:cstheme="minorHAnsi"/>
          <w:iCs/>
          <w:color w:val="000000" w:themeColor="text1"/>
          <w:kern w:val="32"/>
          <w:sz w:val="20"/>
          <w:szCs w:val="20"/>
        </w:rPr>
        <w:t>q ustawy z dnia 27 sierpnia 2004 r o świadczeniach opieki zdrowotnej finansowanych ze środków publicznych</w:t>
      </w:r>
      <w:r w:rsidR="008C471D" w:rsidRPr="0094254D">
        <w:rPr>
          <w:rFonts w:ascii="Lato" w:eastAsiaTheme="majorEastAsia" w:hAnsi="Lato" w:cstheme="minorHAnsi"/>
          <w:iCs/>
          <w:color w:val="000000" w:themeColor="text1"/>
          <w:kern w:val="32"/>
          <w:sz w:val="20"/>
          <w:szCs w:val="20"/>
        </w:rPr>
        <w:t>)</w:t>
      </w:r>
      <w:r w:rsidR="006523C5" w:rsidRPr="0094254D">
        <w:rPr>
          <w:rFonts w:ascii="Lato" w:eastAsiaTheme="majorEastAsia" w:hAnsi="Lato" w:cstheme="minorHAnsi"/>
          <w:iCs/>
          <w:color w:val="000000" w:themeColor="text1"/>
          <w:kern w:val="32"/>
          <w:sz w:val="20"/>
          <w:szCs w:val="20"/>
        </w:rPr>
        <w:t>.</w:t>
      </w:r>
    </w:p>
    <w:p w14:paraId="4DBEA7C8" w14:textId="77777777" w:rsidR="00F30652" w:rsidRPr="00F204B6" w:rsidRDefault="0048229C" w:rsidP="00FD36F0">
      <w:pPr>
        <w:pStyle w:val="Nagwek2"/>
        <w:numPr>
          <w:ilvl w:val="0"/>
          <w:numId w:val="11"/>
        </w:numPr>
        <w:spacing w:before="0" w:after="120"/>
        <w:ind w:left="357" w:hanging="357"/>
        <w:rPr>
          <w:rFonts w:ascii="Lato" w:hAnsi="Lato" w:cstheme="minorHAnsi"/>
          <w:i w:val="0"/>
          <w:iCs/>
          <w:sz w:val="20"/>
          <w:szCs w:val="20"/>
        </w:rPr>
      </w:pPr>
      <w:r w:rsidRPr="00F204B6">
        <w:rPr>
          <w:rFonts w:ascii="Lato" w:hAnsi="Lato" w:cstheme="minorHAnsi"/>
          <w:i w:val="0"/>
          <w:iCs/>
          <w:sz w:val="20"/>
          <w:szCs w:val="20"/>
        </w:rPr>
        <w:t xml:space="preserve">Amortyzacja </w:t>
      </w:r>
    </w:p>
    <w:p w14:paraId="1C5D8D4B" w14:textId="0DF74FCA" w:rsidR="0048229C" w:rsidRPr="00F204B6" w:rsidRDefault="0048229C" w:rsidP="005B45D8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Koszty amortyzacji mogą być uznane za kwalifikowalne na warunkach określonych w art. 67 ust. 2 </w:t>
      </w:r>
      <w:r w:rsidRPr="008C471D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rozporządzenia </w:t>
      </w:r>
      <w:r w:rsidR="00600B78" w:rsidRPr="008C471D">
        <w:rPr>
          <w:rFonts w:ascii="Lato" w:eastAsiaTheme="majorEastAsia" w:hAnsi="Lato" w:cstheme="minorHAnsi"/>
          <w:iCs/>
          <w:kern w:val="32"/>
          <w:sz w:val="20"/>
          <w:szCs w:val="20"/>
        </w:rPr>
        <w:t>Parlamentu Europejskiego i Rady (UE) 2021/1060 z dnia 24 czerwca 2021 r. (Dz. Urz. UE L 231 z 30.06.2021, str. 159, z</w:t>
      </w:r>
      <w:r w:rsidR="00600B78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późn. zm.)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, tj.</w:t>
      </w:r>
      <w:r w:rsidR="009A3ECE">
        <w:rPr>
          <w:rFonts w:ascii="Lato" w:eastAsiaTheme="majorEastAsia" w:hAnsi="Lato" w:cstheme="minorHAnsi"/>
          <w:iCs/>
          <w:kern w:val="32"/>
          <w:sz w:val="20"/>
          <w:szCs w:val="20"/>
        </w:rPr>
        <w:t>,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gdy spełnione są następujące warunki:</w:t>
      </w:r>
    </w:p>
    <w:p w14:paraId="4C0243DF" w14:textId="77777777" w:rsidR="0048229C" w:rsidRPr="00F204B6" w:rsidRDefault="0048229C" w:rsidP="002E0A71">
      <w:pPr>
        <w:pStyle w:val="Akapitzlist"/>
        <w:numPr>
          <w:ilvl w:val="1"/>
          <w:numId w:val="31"/>
        </w:numPr>
        <w:spacing w:after="120" w:line="360" w:lineRule="auto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>kwota wydatków jest należycie uzasadniona dokumentami potwierdzającymi o wartości dowodowej równoważnej fakturom obejmującym koszty kwalifikowalne,</w:t>
      </w:r>
    </w:p>
    <w:p w14:paraId="0DF2A2BF" w14:textId="77777777" w:rsidR="0048229C" w:rsidRPr="00F204B6" w:rsidRDefault="0048229C" w:rsidP="002E0A71">
      <w:pPr>
        <w:pStyle w:val="Akapitzlist"/>
        <w:numPr>
          <w:ilvl w:val="1"/>
          <w:numId w:val="31"/>
        </w:numPr>
        <w:spacing w:after="120" w:line="360" w:lineRule="auto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 xml:space="preserve">koszty odnoszą się wyłącznie do okresu realizacji projektu wskazanego w umowie o dofinansowanie projektu, </w:t>
      </w:r>
    </w:p>
    <w:p w14:paraId="305A3FF8" w14:textId="1869A237" w:rsidR="0048229C" w:rsidRPr="00F204B6" w:rsidRDefault="0048229C" w:rsidP="002E0A71">
      <w:pPr>
        <w:pStyle w:val="Akapitzlist"/>
        <w:numPr>
          <w:ilvl w:val="1"/>
          <w:numId w:val="31"/>
        </w:numPr>
        <w:spacing w:after="120" w:line="360" w:lineRule="auto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>do</w:t>
      </w:r>
      <w:r w:rsidR="00AD0826">
        <w:rPr>
          <w:rStyle w:val="normaltextrun"/>
          <w:rFonts w:ascii="Lato" w:hAnsi="Lato" w:cstheme="minorHAnsi"/>
          <w:sz w:val="20"/>
          <w:szCs w:val="20"/>
        </w:rPr>
        <w:t>tacje</w:t>
      </w:r>
      <w:r w:rsidRPr="00F204B6">
        <w:rPr>
          <w:rStyle w:val="normaltextrun"/>
          <w:rFonts w:ascii="Lato" w:hAnsi="Lato" w:cstheme="minorHAnsi"/>
          <w:sz w:val="20"/>
          <w:szCs w:val="20"/>
        </w:rPr>
        <w:t xml:space="preserve"> publiczne nie zostały wykorzystane do celów nabycia amortyzowanych aktywów.</w:t>
      </w:r>
    </w:p>
    <w:p w14:paraId="3C6C47F0" w14:textId="3FE36531" w:rsidR="00453641" w:rsidRPr="00F204B6" w:rsidRDefault="009D6A4B" w:rsidP="004B0F33">
      <w:pPr>
        <w:pStyle w:val="Akapitzlist"/>
        <w:numPr>
          <w:ilvl w:val="0"/>
          <w:numId w:val="14"/>
        </w:numPr>
        <w:spacing w:after="120" w:line="360" w:lineRule="auto"/>
        <w:ind w:left="357" w:hanging="357"/>
        <w:contextualSpacing w:val="0"/>
        <w:rPr>
          <w:rFonts w:ascii="Lato" w:eastAsiaTheme="majorEastAsia" w:hAnsi="Lato" w:cstheme="minorHAnsi"/>
          <w:b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b/>
          <w:iCs/>
          <w:kern w:val="32"/>
          <w:sz w:val="20"/>
          <w:szCs w:val="20"/>
        </w:rPr>
        <w:t xml:space="preserve">KOSZTY POŚREDNIE – </w:t>
      </w:r>
      <w:bookmarkStart w:id="24" w:name="_Hlk145582069"/>
      <w:r w:rsidRPr="00F204B6">
        <w:rPr>
          <w:rFonts w:ascii="Lato" w:eastAsiaTheme="majorEastAsia" w:hAnsi="Lato" w:cstheme="minorHAnsi"/>
          <w:b/>
          <w:iCs/>
          <w:kern w:val="32"/>
          <w:sz w:val="20"/>
          <w:szCs w:val="20"/>
        </w:rPr>
        <w:t>koszty niezbędne do realizacji przedsięwzięcia, których nie można bezpośrednio przypisać do głównego celu inwestycji</w:t>
      </w:r>
      <w:bookmarkEnd w:id="24"/>
      <w:r w:rsidRPr="00F204B6">
        <w:rPr>
          <w:rFonts w:ascii="Lato" w:eastAsiaTheme="majorEastAsia" w:hAnsi="Lato" w:cstheme="minorHAnsi"/>
          <w:b/>
          <w:iCs/>
          <w:kern w:val="32"/>
          <w:sz w:val="20"/>
          <w:szCs w:val="20"/>
        </w:rPr>
        <w:t xml:space="preserve">, w szczególności koszty </w:t>
      </w:r>
      <w:r w:rsidR="00EC2CE2" w:rsidRPr="00F204B6">
        <w:rPr>
          <w:rFonts w:ascii="Lato" w:eastAsiaTheme="majorEastAsia" w:hAnsi="Lato" w:cstheme="minorHAnsi"/>
          <w:b/>
          <w:iCs/>
          <w:kern w:val="32"/>
          <w:sz w:val="20"/>
          <w:szCs w:val="20"/>
        </w:rPr>
        <w:t>zarządzania,</w:t>
      </w:r>
      <w:r w:rsidRPr="00F204B6">
        <w:rPr>
          <w:rFonts w:ascii="Lato" w:eastAsiaTheme="majorEastAsia" w:hAnsi="Lato" w:cstheme="minorHAnsi"/>
          <w:b/>
          <w:iCs/>
          <w:kern w:val="32"/>
          <w:sz w:val="20"/>
          <w:szCs w:val="20"/>
        </w:rPr>
        <w:t xml:space="preserve"> związane z obsługą pr</w:t>
      </w:r>
      <w:r w:rsidR="0098296F" w:rsidRPr="00F204B6">
        <w:rPr>
          <w:rFonts w:ascii="Lato" w:eastAsiaTheme="majorEastAsia" w:hAnsi="Lato" w:cstheme="minorHAnsi"/>
          <w:b/>
          <w:iCs/>
          <w:kern w:val="32"/>
          <w:sz w:val="20"/>
          <w:szCs w:val="20"/>
        </w:rPr>
        <w:t>zedsięwzięcia</w:t>
      </w:r>
      <w:r w:rsidRPr="00F204B6">
        <w:rPr>
          <w:rFonts w:ascii="Lato" w:eastAsiaTheme="majorEastAsia" w:hAnsi="Lato" w:cstheme="minorHAnsi"/>
          <w:b/>
          <w:iCs/>
          <w:kern w:val="32"/>
          <w:sz w:val="20"/>
          <w:szCs w:val="20"/>
        </w:rPr>
        <w:t xml:space="preserve">. </w:t>
      </w:r>
    </w:p>
    <w:p w14:paraId="58C95ABE" w14:textId="09883BE1" w:rsidR="000966A2" w:rsidRPr="00F204B6" w:rsidRDefault="000966A2" w:rsidP="004B0F33">
      <w:pPr>
        <w:pStyle w:val="Nagwek2"/>
        <w:numPr>
          <w:ilvl w:val="0"/>
          <w:numId w:val="15"/>
        </w:numPr>
        <w:spacing w:before="0" w:after="120"/>
        <w:ind w:left="357" w:hanging="357"/>
        <w:rPr>
          <w:rFonts w:ascii="Lato" w:hAnsi="Lato" w:cstheme="minorHAnsi"/>
          <w:i w:val="0"/>
          <w:iCs/>
          <w:sz w:val="20"/>
          <w:szCs w:val="20"/>
        </w:rPr>
      </w:pPr>
      <w:r w:rsidRPr="00F204B6">
        <w:rPr>
          <w:rFonts w:ascii="Lato" w:hAnsi="Lato" w:cstheme="minorHAnsi"/>
          <w:i w:val="0"/>
          <w:iCs/>
          <w:sz w:val="20"/>
          <w:szCs w:val="20"/>
        </w:rPr>
        <w:t>Koszty ogólne, osobowe, zarządu i pozostałe</w:t>
      </w:r>
    </w:p>
    <w:p w14:paraId="0831FA85" w14:textId="0D880D85" w:rsidR="000966A2" w:rsidRPr="00F204B6" w:rsidRDefault="000966A2" w:rsidP="003056A9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Jako koszty pośrednie kwalifikują się </w:t>
      </w:r>
      <w:r w:rsidR="000512E7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m.in.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następujące wydatki: </w:t>
      </w:r>
    </w:p>
    <w:p w14:paraId="011F54DF" w14:textId="1B28B352" w:rsidR="00453641" w:rsidRPr="00F204B6" w:rsidRDefault="00453641" w:rsidP="004B0F33">
      <w:pPr>
        <w:pStyle w:val="Akapitzlist"/>
        <w:numPr>
          <w:ilvl w:val="0"/>
          <w:numId w:val="16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>koszty koordynatora p</w:t>
      </w:r>
      <w:r w:rsidR="0098296F" w:rsidRPr="00F204B6">
        <w:rPr>
          <w:rStyle w:val="normaltextrun"/>
          <w:rFonts w:ascii="Lato" w:hAnsi="Lato" w:cstheme="minorHAnsi"/>
          <w:sz w:val="20"/>
          <w:szCs w:val="20"/>
        </w:rPr>
        <w:t>rzedsięwzięcia</w:t>
      </w:r>
      <w:r w:rsidRPr="00F204B6">
        <w:rPr>
          <w:rStyle w:val="normaltextrun"/>
          <w:rFonts w:ascii="Lato" w:hAnsi="Lato" w:cstheme="minorHAnsi"/>
          <w:sz w:val="20"/>
          <w:szCs w:val="20"/>
        </w:rPr>
        <w:t xml:space="preserve"> oraz innego personelu zaangażowanego w</w:t>
      </w:r>
      <w:r w:rsidR="000966A2" w:rsidRPr="00F204B6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Pr="00F204B6">
        <w:rPr>
          <w:rStyle w:val="normaltextrun"/>
          <w:rFonts w:ascii="Lato" w:hAnsi="Lato" w:cstheme="minorHAnsi"/>
          <w:sz w:val="20"/>
          <w:szCs w:val="20"/>
        </w:rPr>
        <w:t xml:space="preserve">zarządzanie, rozliczanie, monitorowanie </w:t>
      </w:r>
      <w:r w:rsidR="009474F5" w:rsidRPr="00F204B6">
        <w:rPr>
          <w:rStyle w:val="normaltextrun"/>
          <w:rFonts w:ascii="Lato" w:hAnsi="Lato" w:cstheme="minorHAnsi"/>
          <w:sz w:val="20"/>
          <w:szCs w:val="20"/>
        </w:rPr>
        <w:t>przedsięwzięcia</w:t>
      </w:r>
      <w:r w:rsidRPr="00F204B6">
        <w:rPr>
          <w:rStyle w:val="normaltextrun"/>
          <w:rFonts w:ascii="Lato" w:hAnsi="Lato" w:cstheme="minorHAnsi"/>
          <w:sz w:val="20"/>
          <w:szCs w:val="20"/>
        </w:rPr>
        <w:t xml:space="preserve"> lub prowadzenie innych</w:t>
      </w:r>
      <w:r w:rsidR="000966A2" w:rsidRPr="00F204B6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Pr="00F204B6">
        <w:rPr>
          <w:rStyle w:val="normaltextrun"/>
          <w:rFonts w:ascii="Lato" w:hAnsi="Lato" w:cstheme="minorHAnsi"/>
          <w:sz w:val="20"/>
          <w:szCs w:val="20"/>
        </w:rPr>
        <w:t>działań administracyjnych</w:t>
      </w:r>
      <w:r w:rsidR="00D36D33" w:rsidRPr="00F204B6">
        <w:rPr>
          <w:rStyle w:val="normaltextrun"/>
          <w:rFonts w:ascii="Lato" w:hAnsi="Lato" w:cstheme="minorHAnsi"/>
          <w:sz w:val="20"/>
          <w:szCs w:val="20"/>
        </w:rPr>
        <w:t xml:space="preserve"> \</w:t>
      </w:r>
      <w:r w:rsidRPr="00F204B6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="009474F5" w:rsidRPr="00F204B6">
        <w:rPr>
          <w:rStyle w:val="normaltextrun"/>
          <w:rFonts w:ascii="Lato" w:hAnsi="Lato" w:cstheme="minorHAnsi"/>
          <w:sz w:val="20"/>
          <w:szCs w:val="20"/>
        </w:rPr>
        <w:t>przedsięwzięcia</w:t>
      </w:r>
      <w:r w:rsidRPr="00F204B6">
        <w:rPr>
          <w:rStyle w:val="normaltextrun"/>
          <w:rFonts w:ascii="Lato" w:hAnsi="Lato" w:cstheme="minorHAnsi"/>
          <w:sz w:val="20"/>
          <w:szCs w:val="20"/>
        </w:rPr>
        <w:t>,</w:t>
      </w:r>
    </w:p>
    <w:p w14:paraId="5C201BE9" w14:textId="5491319A" w:rsidR="00453641" w:rsidRPr="00F204B6" w:rsidRDefault="00453641" w:rsidP="004B0F33">
      <w:pPr>
        <w:pStyle w:val="Akapitzlist"/>
        <w:numPr>
          <w:ilvl w:val="0"/>
          <w:numId w:val="16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>koszty zarządu (wynagrodzenia osób uprawnionych do reprezentowania</w:t>
      </w:r>
      <w:r w:rsidR="000966A2" w:rsidRPr="00F204B6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Pr="00F204B6">
        <w:rPr>
          <w:rStyle w:val="normaltextrun"/>
          <w:rFonts w:ascii="Lato" w:hAnsi="Lato" w:cstheme="minorHAnsi"/>
          <w:sz w:val="20"/>
          <w:szCs w:val="20"/>
        </w:rPr>
        <w:t>jednostki, których zakresy czynności nie są przypisane wyłącznie do p</w:t>
      </w:r>
      <w:r w:rsidR="0098296F" w:rsidRPr="00F204B6">
        <w:rPr>
          <w:rStyle w:val="normaltextrun"/>
          <w:rFonts w:ascii="Lato" w:hAnsi="Lato" w:cstheme="minorHAnsi"/>
          <w:sz w:val="20"/>
          <w:szCs w:val="20"/>
        </w:rPr>
        <w:t>rzedsięwzięcia</w:t>
      </w:r>
      <w:r w:rsidRPr="00F204B6">
        <w:rPr>
          <w:rStyle w:val="normaltextrun"/>
          <w:rFonts w:ascii="Lato" w:hAnsi="Lato" w:cstheme="minorHAnsi"/>
          <w:sz w:val="20"/>
          <w:szCs w:val="20"/>
        </w:rPr>
        <w:t>,</w:t>
      </w:r>
      <w:r w:rsidR="000966A2" w:rsidRPr="00F204B6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Pr="00F204B6">
        <w:rPr>
          <w:rStyle w:val="normaltextrun"/>
          <w:rFonts w:ascii="Lato" w:hAnsi="Lato" w:cstheme="minorHAnsi"/>
          <w:sz w:val="20"/>
          <w:szCs w:val="20"/>
        </w:rPr>
        <w:t>np. kierownika jednostki),</w:t>
      </w:r>
    </w:p>
    <w:p w14:paraId="7A1C89EB" w14:textId="2DDBF774" w:rsidR="00453641" w:rsidRPr="00F204B6" w:rsidRDefault="00453641" w:rsidP="004B0F33">
      <w:pPr>
        <w:pStyle w:val="Akapitzlist"/>
        <w:numPr>
          <w:ilvl w:val="0"/>
          <w:numId w:val="16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lastRenderedPageBreak/>
        <w:t xml:space="preserve">koszty personelu obsługowego (obsługa kadrowa, finansowa, </w:t>
      </w:r>
      <w:r w:rsidR="000966A2" w:rsidRPr="00F204B6">
        <w:rPr>
          <w:rStyle w:val="normaltextrun"/>
          <w:rFonts w:ascii="Lato" w:hAnsi="Lato" w:cstheme="minorHAnsi"/>
          <w:sz w:val="20"/>
          <w:szCs w:val="20"/>
        </w:rPr>
        <w:t xml:space="preserve">księgowa, </w:t>
      </w:r>
      <w:r w:rsidRPr="00F204B6">
        <w:rPr>
          <w:rStyle w:val="normaltextrun"/>
          <w:rFonts w:ascii="Lato" w:hAnsi="Lato" w:cstheme="minorHAnsi"/>
          <w:sz w:val="20"/>
          <w:szCs w:val="20"/>
        </w:rPr>
        <w:t>administracyjna,</w:t>
      </w:r>
      <w:r w:rsidR="000966A2" w:rsidRPr="00F204B6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Pr="00F204B6">
        <w:rPr>
          <w:rStyle w:val="normaltextrun"/>
          <w:rFonts w:ascii="Lato" w:hAnsi="Lato" w:cstheme="minorHAnsi"/>
          <w:sz w:val="20"/>
          <w:szCs w:val="20"/>
        </w:rPr>
        <w:t>sekretariat, kancelaria, obsługa prawna) na</w:t>
      </w:r>
      <w:r w:rsidR="000966A2" w:rsidRPr="00F204B6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Pr="00F204B6">
        <w:rPr>
          <w:rStyle w:val="normaltextrun"/>
          <w:rFonts w:ascii="Lato" w:hAnsi="Lato" w:cstheme="minorHAnsi"/>
          <w:sz w:val="20"/>
          <w:szCs w:val="20"/>
        </w:rPr>
        <w:t>potrzeby funkcjonowania jednostki,</w:t>
      </w:r>
      <w:r w:rsidR="000966A2" w:rsidRPr="00F204B6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="00B83129">
        <w:rPr>
          <w:rStyle w:val="normaltextrun"/>
          <w:rFonts w:ascii="Lato" w:hAnsi="Lato" w:cstheme="minorHAnsi"/>
          <w:sz w:val="20"/>
          <w:szCs w:val="20"/>
        </w:rPr>
        <w:t xml:space="preserve">w zakresie niezbędnym do </w:t>
      </w:r>
      <w:r w:rsidR="00167F45">
        <w:rPr>
          <w:rStyle w:val="normaltextrun"/>
          <w:rFonts w:ascii="Lato" w:hAnsi="Lato" w:cstheme="minorHAnsi"/>
          <w:sz w:val="20"/>
          <w:szCs w:val="20"/>
        </w:rPr>
        <w:t xml:space="preserve">zapewnienia </w:t>
      </w:r>
      <w:r w:rsidR="00B83129">
        <w:rPr>
          <w:rStyle w:val="normaltextrun"/>
          <w:rFonts w:ascii="Lato" w:hAnsi="Lato" w:cstheme="minorHAnsi"/>
          <w:sz w:val="20"/>
          <w:szCs w:val="20"/>
        </w:rPr>
        <w:t>realizacji przedsięwzięcia,</w:t>
      </w:r>
    </w:p>
    <w:p w14:paraId="55986FC2" w14:textId="6128C7F8" w:rsidR="00453641" w:rsidRPr="00F204B6" w:rsidRDefault="00453641" w:rsidP="004B0F33">
      <w:pPr>
        <w:pStyle w:val="Akapitzlist"/>
        <w:numPr>
          <w:ilvl w:val="0"/>
          <w:numId w:val="16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>wydatki związane z otworzeniem lub prowadzeniem wyodrębnionego na rzecz</w:t>
      </w:r>
      <w:r w:rsidR="000966A2" w:rsidRPr="00F204B6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Pr="00F204B6">
        <w:rPr>
          <w:rStyle w:val="normaltextrun"/>
          <w:rFonts w:ascii="Lato" w:hAnsi="Lato" w:cstheme="minorHAnsi"/>
          <w:sz w:val="20"/>
          <w:szCs w:val="20"/>
        </w:rPr>
        <w:t>p</w:t>
      </w:r>
      <w:r w:rsidR="0098296F" w:rsidRPr="00F204B6">
        <w:rPr>
          <w:rStyle w:val="normaltextrun"/>
          <w:rFonts w:ascii="Lato" w:hAnsi="Lato" w:cstheme="minorHAnsi"/>
          <w:sz w:val="20"/>
          <w:szCs w:val="20"/>
        </w:rPr>
        <w:t>rzedsięwzięcia</w:t>
      </w:r>
      <w:r w:rsidRPr="00F204B6">
        <w:rPr>
          <w:rStyle w:val="normaltextrun"/>
          <w:rFonts w:ascii="Lato" w:hAnsi="Lato" w:cstheme="minorHAnsi"/>
          <w:sz w:val="20"/>
          <w:szCs w:val="20"/>
        </w:rPr>
        <w:t xml:space="preserve"> subkonta na rachunku płatniczym lub odrębnego rachunku</w:t>
      </w:r>
      <w:r w:rsidR="000966A2" w:rsidRPr="00F204B6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Pr="00F204B6">
        <w:rPr>
          <w:rStyle w:val="normaltextrun"/>
          <w:rFonts w:ascii="Lato" w:hAnsi="Lato" w:cstheme="minorHAnsi"/>
          <w:sz w:val="20"/>
          <w:szCs w:val="20"/>
        </w:rPr>
        <w:t>płatniczego,</w:t>
      </w:r>
    </w:p>
    <w:p w14:paraId="15DCE7D8" w14:textId="23B05DEC" w:rsidR="00B93B3A" w:rsidRPr="00F204B6" w:rsidRDefault="00453641" w:rsidP="004B0F33">
      <w:pPr>
        <w:pStyle w:val="Akapitzlist"/>
        <w:numPr>
          <w:ilvl w:val="0"/>
          <w:numId w:val="16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>opłaty za energię elektryczną, cieplną, gazową i wodę, opłaty przesyłowe,</w:t>
      </w:r>
      <w:r w:rsidR="000966A2" w:rsidRPr="00F204B6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Pr="00F204B6">
        <w:rPr>
          <w:rStyle w:val="normaltextrun"/>
          <w:rFonts w:ascii="Lato" w:hAnsi="Lato" w:cstheme="minorHAnsi"/>
          <w:sz w:val="20"/>
          <w:szCs w:val="20"/>
        </w:rPr>
        <w:t>opłaty za odprowadzanie ścieków, opłaty za wywóz odpadów komunalnych,</w:t>
      </w:r>
      <w:r w:rsidR="000966A2" w:rsidRPr="00F204B6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Pr="00F204B6">
        <w:rPr>
          <w:rStyle w:val="normaltextrun"/>
          <w:rFonts w:ascii="Lato" w:hAnsi="Lato" w:cstheme="minorHAnsi"/>
          <w:sz w:val="20"/>
          <w:szCs w:val="20"/>
        </w:rPr>
        <w:t>koszty usług pocztowych, telefonicznych, internetowych, kurierskich,</w:t>
      </w:r>
      <w:r w:rsidR="00330366" w:rsidRPr="00F204B6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Pr="00F204B6">
        <w:rPr>
          <w:rStyle w:val="normaltextrun"/>
          <w:rFonts w:ascii="Lato" w:hAnsi="Lato" w:cstheme="minorHAnsi"/>
          <w:sz w:val="20"/>
          <w:szCs w:val="20"/>
        </w:rPr>
        <w:t>koszty materiałów biurowych i artykułów piśmienniczych,</w:t>
      </w:r>
      <w:r w:rsidR="000512E7" w:rsidRPr="00F204B6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Pr="00F204B6">
        <w:rPr>
          <w:rStyle w:val="normaltextrun"/>
          <w:rFonts w:ascii="Lato" w:hAnsi="Lato" w:cstheme="minorHAnsi"/>
          <w:sz w:val="20"/>
          <w:szCs w:val="20"/>
        </w:rPr>
        <w:t>koszty sprzątania pomieszczeń</w:t>
      </w:r>
      <w:r w:rsidR="000512E7" w:rsidRPr="00F204B6">
        <w:rPr>
          <w:rStyle w:val="normaltextrun"/>
          <w:rFonts w:ascii="Lato" w:hAnsi="Lato" w:cstheme="minorHAnsi"/>
          <w:sz w:val="20"/>
          <w:szCs w:val="20"/>
        </w:rPr>
        <w:t>.</w:t>
      </w:r>
    </w:p>
    <w:p w14:paraId="669CCCF1" w14:textId="63268636" w:rsidR="00BD73FD" w:rsidRPr="00F204B6" w:rsidRDefault="000512E7" w:rsidP="003056A9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R</w:t>
      </w:r>
      <w:r w:rsidR="00453641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ozliczenie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kosztów pośrednich przedsięwzięcia </w:t>
      </w:r>
      <w:r w:rsidR="00453641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następuje </w:t>
      </w:r>
      <w:r w:rsidR="007A0B96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wg uproszczonej metody rozliczania wydatków, tj</w:t>
      </w:r>
      <w:r w:rsidR="005B3D95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.</w:t>
      </w:r>
      <w:r w:rsidR="007A0B96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9B4504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stawki </w:t>
      </w:r>
      <w:r w:rsidR="00453641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ryczałt</w:t>
      </w:r>
      <w:r w:rsidR="009B4504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owej</w:t>
      </w:r>
      <w:r w:rsidR="00B87BD6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. </w:t>
      </w:r>
    </w:p>
    <w:p w14:paraId="1775D8D3" w14:textId="48CDA114" w:rsidR="00D87951" w:rsidRPr="00F204B6" w:rsidRDefault="00B87BD6" w:rsidP="003056A9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Stawka ryczałtowa stanowi określon</w:t>
      </w:r>
      <w:r w:rsidR="00BD73FD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ą, </w:t>
      </w:r>
      <w:r w:rsidR="00D65665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we wniosku o objęcie przedsięwzięcia wsparciem </w:t>
      </w:r>
      <w:r w:rsidR="00BD73FD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stałą </w:t>
      </w:r>
      <w:r w:rsidR="00F84E2E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wartość procentową</w:t>
      </w:r>
      <w:r w:rsidR="00BD73FD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, obliczaną na </w:t>
      </w:r>
      <w:r w:rsidR="00F84E2E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podstawie rzeczywiście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poniesionych wydatk</w:t>
      </w:r>
      <w:r w:rsidR="00BD73FD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ów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kwalifikowalnych bezpośrednich</w:t>
      </w:r>
      <w:r w:rsidR="00BD73FD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.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Stawka ryczałtowa </w:t>
      </w:r>
      <w:r w:rsidR="00330366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dla kosztów pośrednich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została określona </w:t>
      </w:r>
      <w:r w:rsidR="00EC0A20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w wysokości </w:t>
      </w:r>
      <w:r w:rsidR="006F2BB3">
        <w:rPr>
          <w:rFonts w:ascii="Lato" w:eastAsiaTheme="majorEastAsia" w:hAnsi="Lato" w:cstheme="minorHAnsi"/>
          <w:iCs/>
          <w:kern w:val="32"/>
          <w:sz w:val="20"/>
          <w:szCs w:val="20"/>
        </w:rPr>
        <w:t>nie</w:t>
      </w:r>
      <w:r w:rsidR="00EC0A20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przekraczającej </w:t>
      </w:r>
      <w:r w:rsidR="0020157C" w:rsidRPr="00F204B6">
        <w:rPr>
          <w:rFonts w:ascii="Lato" w:eastAsiaTheme="majorEastAsia" w:hAnsi="Lato" w:cstheme="minorHAnsi"/>
          <w:b/>
          <w:bCs/>
          <w:iCs/>
          <w:kern w:val="32"/>
          <w:sz w:val="20"/>
          <w:szCs w:val="20"/>
        </w:rPr>
        <w:t>5</w:t>
      </w:r>
      <w:r w:rsidR="00BE52B3" w:rsidRPr="00F204B6">
        <w:rPr>
          <w:rFonts w:ascii="Lato" w:eastAsiaTheme="majorEastAsia" w:hAnsi="Lato" w:cstheme="minorHAnsi"/>
          <w:b/>
          <w:bCs/>
          <w:iCs/>
          <w:kern w:val="32"/>
          <w:sz w:val="20"/>
          <w:szCs w:val="20"/>
        </w:rPr>
        <w:t> </w:t>
      </w:r>
      <w:r w:rsidR="00D87951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%</w:t>
      </w:r>
      <w:r w:rsidR="00035C89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sumy wydatków bezpośrednich.</w:t>
      </w:r>
    </w:p>
    <w:p w14:paraId="761ECD9A" w14:textId="10D051AD" w:rsidR="00E322F8" w:rsidRPr="00F204B6" w:rsidRDefault="00E322F8" w:rsidP="00B87BD6">
      <w:pPr>
        <w:spacing w:before="120" w:after="120" w:line="360" w:lineRule="auto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</w:p>
    <w:sectPr w:rsidR="00E322F8" w:rsidRPr="00F204B6" w:rsidSect="008420F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2345DB" w14:textId="77777777" w:rsidR="00682852" w:rsidRDefault="00682852" w:rsidP="00B8406D">
      <w:pPr>
        <w:spacing w:after="0" w:line="240" w:lineRule="auto"/>
      </w:pPr>
      <w:r>
        <w:separator/>
      </w:r>
    </w:p>
  </w:endnote>
  <w:endnote w:type="continuationSeparator" w:id="0">
    <w:p w14:paraId="0053A4CF" w14:textId="77777777" w:rsidR="00682852" w:rsidRDefault="00682852" w:rsidP="00B8406D">
      <w:pPr>
        <w:spacing w:after="0" w:line="240" w:lineRule="auto"/>
      </w:pPr>
      <w:r>
        <w:continuationSeparator/>
      </w:r>
    </w:p>
  </w:endnote>
  <w:endnote w:type="continuationNotice" w:id="1">
    <w:p w14:paraId="52833844" w14:textId="77777777" w:rsidR="00682852" w:rsidRDefault="006828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41FBD" w14:textId="77777777" w:rsidR="000F6B4C" w:rsidRDefault="000F6B4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93910174"/>
      <w:docPartObj>
        <w:docPartGallery w:val="Page Numbers (Bottom of Page)"/>
        <w:docPartUnique/>
      </w:docPartObj>
    </w:sdtPr>
    <w:sdtContent>
      <w:p w14:paraId="5DEF87F8" w14:textId="38F2A7B7" w:rsidR="006A2036" w:rsidRDefault="006A203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099F78" w14:textId="77777777" w:rsidR="006A2036" w:rsidRDefault="006A203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98546" w14:textId="77777777" w:rsidR="000F6B4C" w:rsidRDefault="000F6B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6DA5D" w14:textId="77777777" w:rsidR="00682852" w:rsidRDefault="00682852" w:rsidP="00B8406D">
      <w:pPr>
        <w:spacing w:after="0" w:line="240" w:lineRule="auto"/>
      </w:pPr>
      <w:r>
        <w:separator/>
      </w:r>
    </w:p>
  </w:footnote>
  <w:footnote w:type="continuationSeparator" w:id="0">
    <w:p w14:paraId="5ACFFFE9" w14:textId="77777777" w:rsidR="00682852" w:rsidRDefault="00682852" w:rsidP="00B8406D">
      <w:pPr>
        <w:spacing w:after="0" w:line="240" w:lineRule="auto"/>
      </w:pPr>
      <w:r>
        <w:continuationSeparator/>
      </w:r>
    </w:p>
  </w:footnote>
  <w:footnote w:type="continuationNotice" w:id="1">
    <w:p w14:paraId="34D83B88" w14:textId="77777777" w:rsidR="00682852" w:rsidRDefault="0068285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0F439" w14:textId="77777777" w:rsidR="000F6B4C" w:rsidRDefault="000F6B4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F3C54" w14:textId="45C5863C" w:rsidR="00B93983" w:rsidRDefault="000F6B4C">
    <w:pPr>
      <w:pStyle w:val="Nagwek"/>
    </w:pPr>
    <w:r>
      <w:rPr>
        <w:noProof/>
      </w:rPr>
      <w:drawing>
        <wp:inline distT="0" distB="0" distL="0" distR="0" wp14:anchorId="3B3C2623" wp14:editId="351BC0DB">
          <wp:extent cx="6645910" cy="664845"/>
          <wp:effectExtent l="0" t="0" r="2540" b="1905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664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5332D" w14:textId="77777777" w:rsidR="000F6B4C" w:rsidRDefault="000F6B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A4F66"/>
    <w:multiLevelType w:val="hybridMultilevel"/>
    <w:tmpl w:val="B1BE7092"/>
    <w:lvl w:ilvl="0" w:tplc="F59016DA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A10E7"/>
    <w:multiLevelType w:val="hybridMultilevel"/>
    <w:tmpl w:val="8796144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14608"/>
    <w:multiLevelType w:val="hybridMultilevel"/>
    <w:tmpl w:val="E02C91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5C5A86"/>
    <w:multiLevelType w:val="hybridMultilevel"/>
    <w:tmpl w:val="3FA28AE0"/>
    <w:lvl w:ilvl="0" w:tplc="4D6A37B0">
      <w:start w:val="1"/>
      <w:numFmt w:val="decimal"/>
      <w:lvlText w:val="%1."/>
      <w:lvlJc w:val="left"/>
      <w:pPr>
        <w:ind w:left="514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2"/>
        <w:sz w:val="20"/>
        <w:szCs w:val="20"/>
        <w:lang w:val="pl-PL" w:eastAsia="en-US" w:bidi="ar-SA"/>
      </w:rPr>
    </w:lvl>
    <w:lvl w:ilvl="1" w:tplc="ED06AB9A">
      <w:start w:val="1"/>
      <w:numFmt w:val="lowerLetter"/>
      <w:lvlText w:val="%2)"/>
      <w:lvlJc w:val="left"/>
      <w:pPr>
        <w:ind w:left="797" w:hanging="361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88"/>
        <w:sz w:val="20"/>
        <w:szCs w:val="20"/>
        <w:lang w:val="pl-PL" w:eastAsia="en-US" w:bidi="ar-SA"/>
      </w:rPr>
    </w:lvl>
    <w:lvl w:ilvl="2" w:tplc="C5A86D66">
      <w:start w:val="1"/>
      <w:numFmt w:val="lowerRoman"/>
      <w:lvlText w:val="%3."/>
      <w:lvlJc w:val="left"/>
      <w:pPr>
        <w:ind w:left="1287" w:hanging="452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87"/>
        <w:sz w:val="20"/>
        <w:szCs w:val="20"/>
        <w:lang w:val="pl-PL" w:eastAsia="en-US" w:bidi="ar-SA"/>
      </w:rPr>
    </w:lvl>
    <w:lvl w:ilvl="3" w:tplc="4CD04304">
      <w:numFmt w:val="bullet"/>
      <w:lvlText w:val="•"/>
      <w:lvlJc w:val="left"/>
      <w:pPr>
        <w:ind w:left="1280" w:hanging="452"/>
      </w:pPr>
      <w:rPr>
        <w:rFonts w:hint="default"/>
        <w:lang w:val="pl-PL" w:eastAsia="en-US" w:bidi="ar-SA"/>
      </w:rPr>
    </w:lvl>
    <w:lvl w:ilvl="4" w:tplc="40F8C542">
      <w:numFmt w:val="bullet"/>
      <w:lvlText w:val="•"/>
      <w:lvlJc w:val="left"/>
      <w:pPr>
        <w:ind w:left="2636" w:hanging="452"/>
      </w:pPr>
      <w:rPr>
        <w:rFonts w:hint="default"/>
        <w:lang w:val="pl-PL" w:eastAsia="en-US" w:bidi="ar-SA"/>
      </w:rPr>
    </w:lvl>
    <w:lvl w:ilvl="5" w:tplc="19763DB4">
      <w:numFmt w:val="bullet"/>
      <w:lvlText w:val="•"/>
      <w:lvlJc w:val="left"/>
      <w:pPr>
        <w:ind w:left="3992" w:hanging="452"/>
      </w:pPr>
      <w:rPr>
        <w:rFonts w:hint="default"/>
        <w:lang w:val="pl-PL" w:eastAsia="en-US" w:bidi="ar-SA"/>
      </w:rPr>
    </w:lvl>
    <w:lvl w:ilvl="6" w:tplc="7EF28C38">
      <w:numFmt w:val="bullet"/>
      <w:lvlText w:val="•"/>
      <w:lvlJc w:val="left"/>
      <w:pPr>
        <w:ind w:left="5349" w:hanging="452"/>
      </w:pPr>
      <w:rPr>
        <w:rFonts w:hint="default"/>
        <w:lang w:val="pl-PL" w:eastAsia="en-US" w:bidi="ar-SA"/>
      </w:rPr>
    </w:lvl>
    <w:lvl w:ilvl="7" w:tplc="DA243792">
      <w:numFmt w:val="bullet"/>
      <w:lvlText w:val="•"/>
      <w:lvlJc w:val="left"/>
      <w:pPr>
        <w:ind w:left="6705" w:hanging="452"/>
      </w:pPr>
      <w:rPr>
        <w:rFonts w:hint="default"/>
        <w:lang w:val="pl-PL" w:eastAsia="en-US" w:bidi="ar-SA"/>
      </w:rPr>
    </w:lvl>
    <w:lvl w:ilvl="8" w:tplc="28A481DC">
      <w:numFmt w:val="bullet"/>
      <w:lvlText w:val="•"/>
      <w:lvlJc w:val="left"/>
      <w:pPr>
        <w:ind w:left="8061" w:hanging="452"/>
      </w:pPr>
      <w:rPr>
        <w:rFonts w:hint="default"/>
        <w:lang w:val="pl-PL" w:eastAsia="en-US" w:bidi="ar-SA"/>
      </w:rPr>
    </w:lvl>
  </w:abstractNum>
  <w:abstractNum w:abstractNumId="4" w15:restartNumberingAfterBreak="0">
    <w:nsid w:val="137A5424"/>
    <w:multiLevelType w:val="hybridMultilevel"/>
    <w:tmpl w:val="0F64E6CA"/>
    <w:lvl w:ilvl="0" w:tplc="6332FB44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BC61C1"/>
    <w:multiLevelType w:val="multilevel"/>
    <w:tmpl w:val="CF2662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Theme="minorEastAsia" w:hAnsi="Lato" w:cs="Arial"/>
        <w:b w:val="0"/>
        <w:bCs/>
        <w:i w:val="0"/>
      </w:rPr>
    </w:lvl>
    <w:lvl w:ilvl="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200342B2"/>
    <w:multiLevelType w:val="hybridMultilevel"/>
    <w:tmpl w:val="AF9C71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3AB7CE2"/>
    <w:multiLevelType w:val="hybridMultilevel"/>
    <w:tmpl w:val="F6245C3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068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475A5"/>
    <w:multiLevelType w:val="hybridMultilevel"/>
    <w:tmpl w:val="024C7028"/>
    <w:lvl w:ilvl="0" w:tplc="FAC4F6A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8835741"/>
    <w:multiLevelType w:val="hybridMultilevel"/>
    <w:tmpl w:val="2F1248D6"/>
    <w:lvl w:ilvl="0" w:tplc="FAC4F6A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BBB71E8"/>
    <w:multiLevelType w:val="hybridMultilevel"/>
    <w:tmpl w:val="F8EE6928"/>
    <w:lvl w:ilvl="0" w:tplc="93603168">
      <w:start w:val="2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E512E5"/>
    <w:multiLevelType w:val="hybridMultilevel"/>
    <w:tmpl w:val="7D000A48"/>
    <w:lvl w:ilvl="0" w:tplc="0415001B">
      <w:start w:val="1"/>
      <w:numFmt w:val="lowerRoman"/>
      <w:lvlText w:val="%1."/>
      <w:lvlJc w:val="right"/>
      <w:pPr>
        <w:ind w:left="2110" w:hanging="360"/>
      </w:pPr>
    </w:lvl>
    <w:lvl w:ilvl="1" w:tplc="04150001">
      <w:start w:val="1"/>
      <w:numFmt w:val="bullet"/>
      <w:lvlText w:val=""/>
      <w:lvlJc w:val="left"/>
      <w:pPr>
        <w:ind w:left="283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550" w:hanging="180"/>
      </w:pPr>
    </w:lvl>
    <w:lvl w:ilvl="3" w:tplc="0415000F" w:tentative="1">
      <w:start w:val="1"/>
      <w:numFmt w:val="decimal"/>
      <w:lvlText w:val="%4."/>
      <w:lvlJc w:val="left"/>
      <w:pPr>
        <w:ind w:left="4270" w:hanging="360"/>
      </w:pPr>
    </w:lvl>
    <w:lvl w:ilvl="4" w:tplc="04150019" w:tentative="1">
      <w:start w:val="1"/>
      <w:numFmt w:val="lowerLetter"/>
      <w:lvlText w:val="%5."/>
      <w:lvlJc w:val="left"/>
      <w:pPr>
        <w:ind w:left="4990" w:hanging="360"/>
      </w:pPr>
    </w:lvl>
    <w:lvl w:ilvl="5" w:tplc="0415001B" w:tentative="1">
      <w:start w:val="1"/>
      <w:numFmt w:val="lowerRoman"/>
      <w:lvlText w:val="%6."/>
      <w:lvlJc w:val="right"/>
      <w:pPr>
        <w:ind w:left="5710" w:hanging="180"/>
      </w:pPr>
    </w:lvl>
    <w:lvl w:ilvl="6" w:tplc="0415000F" w:tentative="1">
      <w:start w:val="1"/>
      <w:numFmt w:val="decimal"/>
      <w:lvlText w:val="%7."/>
      <w:lvlJc w:val="left"/>
      <w:pPr>
        <w:ind w:left="6430" w:hanging="360"/>
      </w:pPr>
    </w:lvl>
    <w:lvl w:ilvl="7" w:tplc="04150019" w:tentative="1">
      <w:start w:val="1"/>
      <w:numFmt w:val="lowerLetter"/>
      <w:lvlText w:val="%8."/>
      <w:lvlJc w:val="left"/>
      <w:pPr>
        <w:ind w:left="7150" w:hanging="360"/>
      </w:pPr>
    </w:lvl>
    <w:lvl w:ilvl="8" w:tplc="0415001B" w:tentative="1">
      <w:start w:val="1"/>
      <w:numFmt w:val="lowerRoman"/>
      <w:lvlText w:val="%9."/>
      <w:lvlJc w:val="right"/>
      <w:pPr>
        <w:ind w:left="7870" w:hanging="180"/>
      </w:pPr>
    </w:lvl>
  </w:abstractNum>
  <w:abstractNum w:abstractNumId="12" w15:restartNumberingAfterBreak="0">
    <w:nsid w:val="30155384"/>
    <w:multiLevelType w:val="hybridMultilevel"/>
    <w:tmpl w:val="D8943674"/>
    <w:lvl w:ilvl="0" w:tplc="60C287C8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1B3EFD"/>
    <w:multiLevelType w:val="hybridMultilevel"/>
    <w:tmpl w:val="CE2ABA72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5D742C3"/>
    <w:multiLevelType w:val="hybridMultilevel"/>
    <w:tmpl w:val="E13C4E1A"/>
    <w:lvl w:ilvl="0" w:tplc="B7083E38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763782"/>
    <w:multiLevelType w:val="hybridMultilevel"/>
    <w:tmpl w:val="71A2D4C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A509B9"/>
    <w:multiLevelType w:val="hybridMultilevel"/>
    <w:tmpl w:val="83748EC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2DB1D38"/>
    <w:multiLevelType w:val="hybridMultilevel"/>
    <w:tmpl w:val="D108BF2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183834"/>
    <w:multiLevelType w:val="hybridMultilevel"/>
    <w:tmpl w:val="148EF62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B2F00B9"/>
    <w:multiLevelType w:val="hybridMultilevel"/>
    <w:tmpl w:val="C504DC3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108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D303C1"/>
    <w:multiLevelType w:val="hybridMultilevel"/>
    <w:tmpl w:val="5596AE5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483ED9"/>
    <w:multiLevelType w:val="hybridMultilevel"/>
    <w:tmpl w:val="CE2ABA7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2AA78AF"/>
    <w:multiLevelType w:val="hybridMultilevel"/>
    <w:tmpl w:val="CE2ABA72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F4B1443"/>
    <w:multiLevelType w:val="hybridMultilevel"/>
    <w:tmpl w:val="A9747A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0A61491"/>
    <w:multiLevelType w:val="hybridMultilevel"/>
    <w:tmpl w:val="27A8CEDA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hint="default"/>
        <w:sz w:val="20"/>
        <w:szCs w:val="20"/>
      </w:rPr>
    </w:lvl>
    <w:lvl w:ilvl="1" w:tplc="B17A112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 w15:restartNumberingAfterBreak="0">
    <w:nsid w:val="62220568"/>
    <w:multiLevelType w:val="hybridMultilevel"/>
    <w:tmpl w:val="D238326C"/>
    <w:lvl w:ilvl="0" w:tplc="FFFFFFFF">
      <w:start w:val="1"/>
      <w:numFmt w:val="lowerRoman"/>
      <w:lvlText w:val="%1."/>
      <w:lvlJc w:val="right"/>
      <w:pPr>
        <w:ind w:left="1620" w:hanging="180"/>
      </w:pPr>
    </w:lvl>
    <w:lvl w:ilvl="1" w:tplc="FFFFFFFF" w:tentative="1">
      <w:start w:val="1"/>
      <w:numFmt w:val="lowerLetter"/>
      <w:lvlText w:val="%2."/>
      <w:lvlJc w:val="left"/>
      <w:pPr>
        <w:ind w:left="900" w:hanging="360"/>
      </w:pPr>
    </w:lvl>
    <w:lvl w:ilvl="2" w:tplc="FFFFFFFF" w:tentative="1">
      <w:start w:val="1"/>
      <w:numFmt w:val="lowerRoman"/>
      <w:lvlText w:val="%3."/>
      <w:lvlJc w:val="right"/>
      <w:pPr>
        <w:ind w:left="1620" w:hanging="180"/>
      </w:pPr>
    </w:lvl>
    <w:lvl w:ilvl="3" w:tplc="FFFFFFFF" w:tentative="1">
      <w:start w:val="1"/>
      <w:numFmt w:val="decimal"/>
      <w:lvlText w:val="%4."/>
      <w:lvlJc w:val="left"/>
      <w:pPr>
        <w:ind w:left="2340" w:hanging="360"/>
      </w:pPr>
    </w:lvl>
    <w:lvl w:ilvl="4" w:tplc="FFFFFFFF" w:tentative="1">
      <w:start w:val="1"/>
      <w:numFmt w:val="lowerLetter"/>
      <w:lvlText w:val="%5."/>
      <w:lvlJc w:val="left"/>
      <w:pPr>
        <w:ind w:left="3060" w:hanging="360"/>
      </w:pPr>
    </w:lvl>
    <w:lvl w:ilvl="5" w:tplc="FFFFFFFF" w:tentative="1">
      <w:start w:val="1"/>
      <w:numFmt w:val="lowerRoman"/>
      <w:lvlText w:val="%6."/>
      <w:lvlJc w:val="right"/>
      <w:pPr>
        <w:ind w:left="3780" w:hanging="180"/>
      </w:pPr>
    </w:lvl>
    <w:lvl w:ilvl="6" w:tplc="FFFFFFFF" w:tentative="1">
      <w:start w:val="1"/>
      <w:numFmt w:val="decimal"/>
      <w:lvlText w:val="%7."/>
      <w:lvlJc w:val="left"/>
      <w:pPr>
        <w:ind w:left="4500" w:hanging="360"/>
      </w:pPr>
    </w:lvl>
    <w:lvl w:ilvl="7" w:tplc="FFFFFFFF" w:tentative="1">
      <w:start w:val="1"/>
      <w:numFmt w:val="lowerLetter"/>
      <w:lvlText w:val="%8."/>
      <w:lvlJc w:val="left"/>
      <w:pPr>
        <w:ind w:left="5220" w:hanging="360"/>
      </w:pPr>
    </w:lvl>
    <w:lvl w:ilvl="8" w:tplc="FFFFFFFF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6" w15:restartNumberingAfterBreak="0">
    <w:nsid w:val="645861FD"/>
    <w:multiLevelType w:val="hybridMultilevel"/>
    <w:tmpl w:val="FCDACB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8F1105"/>
    <w:multiLevelType w:val="hybridMultilevel"/>
    <w:tmpl w:val="7C343C1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6EA6B58"/>
    <w:multiLevelType w:val="hybridMultilevel"/>
    <w:tmpl w:val="D238326C"/>
    <w:lvl w:ilvl="0" w:tplc="FFFFFFFF">
      <w:start w:val="1"/>
      <w:numFmt w:val="lowerRoman"/>
      <w:lvlText w:val="%1."/>
      <w:lvlJc w:val="right"/>
      <w:pPr>
        <w:ind w:left="1620" w:hanging="180"/>
      </w:p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9" w15:restartNumberingAfterBreak="0">
    <w:nsid w:val="702D2BF8"/>
    <w:multiLevelType w:val="hybridMultilevel"/>
    <w:tmpl w:val="148EF62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DE775E"/>
    <w:multiLevelType w:val="hybridMultilevel"/>
    <w:tmpl w:val="C0B8D9BC"/>
    <w:lvl w:ilvl="0" w:tplc="9B9AFFEC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4D18B4"/>
    <w:multiLevelType w:val="hybridMultilevel"/>
    <w:tmpl w:val="2EEC5CE6"/>
    <w:lvl w:ilvl="0" w:tplc="409C0B2C">
      <w:start w:val="1"/>
      <w:numFmt w:val="decimal"/>
      <w:lvlText w:val="%1)"/>
      <w:lvlJc w:val="left"/>
      <w:pPr>
        <w:ind w:left="7165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C27E5F"/>
    <w:multiLevelType w:val="hybridMultilevel"/>
    <w:tmpl w:val="54E6828E"/>
    <w:lvl w:ilvl="0" w:tplc="1C680E2E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EB0EE0"/>
    <w:multiLevelType w:val="hybridMultilevel"/>
    <w:tmpl w:val="FCDACB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08597A"/>
    <w:multiLevelType w:val="hybridMultilevel"/>
    <w:tmpl w:val="B51A5304"/>
    <w:lvl w:ilvl="0" w:tplc="0415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5" w15:restartNumberingAfterBreak="0">
    <w:nsid w:val="7B86226F"/>
    <w:multiLevelType w:val="hybridMultilevel"/>
    <w:tmpl w:val="873C8C24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B943028"/>
    <w:multiLevelType w:val="hybridMultilevel"/>
    <w:tmpl w:val="E50809E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95189435">
    <w:abstractNumId w:val="23"/>
  </w:num>
  <w:num w:numId="2" w16cid:durableId="1799491469">
    <w:abstractNumId w:val="26"/>
  </w:num>
  <w:num w:numId="3" w16cid:durableId="1396591269">
    <w:abstractNumId w:val="33"/>
  </w:num>
  <w:num w:numId="4" w16cid:durableId="1861314880">
    <w:abstractNumId w:val="0"/>
  </w:num>
  <w:num w:numId="5" w16cid:durableId="540245184">
    <w:abstractNumId w:val="4"/>
  </w:num>
  <w:num w:numId="6" w16cid:durableId="1191189856">
    <w:abstractNumId w:val="12"/>
  </w:num>
  <w:num w:numId="7" w16cid:durableId="1035883252">
    <w:abstractNumId w:val="10"/>
  </w:num>
  <w:num w:numId="8" w16cid:durableId="2039312757">
    <w:abstractNumId w:val="14"/>
  </w:num>
  <w:num w:numId="9" w16cid:durableId="1060712189">
    <w:abstractNumId w:val="21"/>
  </w:num>
  <w:num w:numId="10" w16cid:durableId="52042908">
    <w:abstractNumId w:val="16"/>
  </w:num>
  <w:num w:numId="11" w16cid:durableId="755125931">
    <w:abstractNumId w:val="27"/>
  </w:num>
  <w:num w:numId="12" w16cid:durableId="612127939">
    <w:abstractNumId w:val="17"/>
  </w:num>
  <w:num w:numId="13" w16cid:durableId="1625961066">
    <w:abstractNumId w:val="31"/>
  </w:num>
  <w:num w:numId="14" w16cid:durableId="1583875697">
    <w:abstractNumId w:val="1"/>
  </w:num>
  <w:num w:numId="15" w16cid:durableId="676082872">
    <w:abstractNumId w:val="36"/>
  </w:num>
  <w:num w:numId="16" w16cid:durableId="919757938">
    <w:abstractNumId w:val="15"/>
  </w:num>
  <w:num w:numId="17" w16cid:durableId="1833644717">
    <w:abstractNumId w:val="19"/>
  </w:num>
  <w:num w:numId="18" w16cid:durableId="1431195222">
    <w:abstractNumId w:val="18"/>
  </w:num>
  <w:num w:numId="19" w16cid:durableId="1746680234">
    <w:abstractNumId w:val="32"/>
  </w:num>
  <w:num w:numId="20" w16cid:durableId="453644609">
    <w:abstractNumId w:val="22"/>
  </w:num>
  <w:num w:numId="21" w16cid:durableId="185950196">
    <w:abstractNumId w:val="28"/>
  </w:num>
  <w:num w:numId="22" w16cid:durableId="1711493139">
    <w:abstractNumId w:val="9"/>
  </w:num>
  <w:num w:numId="23" w16cid:durableId="840924272">
    <w:abstractNumId w:val="8"/>
  </w:num>
  <w:num w:numId="24" w16cid:durableId="5182658">
    <w:abstractNumId w:val="29"/>
  </w:num>
  <w:num w:numId="25" w16cid:durableId="1984656806">
    <w:abstractNumId w:val="11"/>
  </w:num>
  <w:num w:numId="26" w16cid:durableId="2069112669">
    <w:abstractNumId w:val="5"/>
  </w:num>
  <w:num w:numId="27" w16cid:durableId="613286739">
    <w:abstractNumId w:val="25"/>
  </w:num>
  <w:num w:numId="28" w16cid:durableId="799346929">
    <w:abstractNumId w:val="20"/>
  </w:num>
  <w:num w:numId="29" w16cid:durableId="922109294">
    <w:abstractNumId w:val="13"/>
  </w:num>
  <w:num w:numId="30" w16cid:durableId="946043640">
    <w:abstractNumId w:val="35"/>
  </w:num>
  <w:num w:numId="31" w16cid:durableId="920867691">
    <w:abstractNumId w:val="7"/>
  </w:num>
  <w:num w:numId="32" w16cid:durableId="1121386596">
    <w:abstractNumId w:val="24"/>
  </w:num>
  <w:num w:numId="33" w16cid:durableId="954605722">
    <w:abstractNumId w:val="30"/>
  </w:num>
  <w:num w:numId="34" w16cid:durableId="479201022">
    <w:abstractNumId w:val="34"/>
  </w:num>
  <w:num w:numId="35" w16cid:durableId="496269914">
    <w:abstractNumId w:val="3"/>
  </w:num>
  <w:num w:numId="36" w16cid:durableId="877815701">
    <w:abstractNumId w:val="2"/>
  </w:num>
  <w:num w:numId="37" w16cid:durableId="426777985">
    <w:abstractNumId w:val="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EE9"/>
    <w:rsid w:val="0000128A"/>
    <w:rsid w:val="00002477"/>
    <w:rsid w:val="0000539F"/>
    <w:rsid w:val="000058A7"/>
    <w:rsid w:val="00007CCB"/>
    <w:rsid w:val="00007CDD"/>
    <w:rsid w:val="00011456"/>
    <w:rsid w:val="000120B1"/>
    <w:rsid w:val="00015C85"/>
    <w:rsid w:val="000204AC"/>
    <w:rsid w:val="00025990"/>
    <w:rsid w:val="00030868"/>
    <w:rsid w:val="00030C74"/>
    <w:rsid w:val="00035517"/>
    <w:rsid w:val="00035962"/>
    <w:rsid w:val="00035C89"/>
    <w:rsid w:val="0003633F"/>
    <w:rsid w:val="00042A43"/>
    <w:rsid w:val="00043CD6"/>
    <w:rsid w:val="00047383"/>
    <w:rsid w:val="000504CF"/>
    <w:rsid w:val="000512E7"/>
    <w:rsid w:val="000565C8"/>
    <w:rsid w:val="000602C7"/>
    <w:rsid w:val="00065443"/>
    <w:rsid w:val="000703DF"/>
    <w:rsid w:val="00071C94"/>
    <w:rsid w:val="00072304"/>
    <w:rsid w:val="000841F4"/>
    <w:rsid w:val="00084513"/>
    <w:rsid w:val="000861EC"/>
    <w:rsid w:val="00087B5C"/>
    <w:rsid w:val="000966A2"/>
    <w:rsid w:val="000A3ACA"/>
    <w:rsid w:val="000A3BFA"/>
    <w:rsid w:val="000A7961"/>
    <w:rsid w:val="000B13CE"/>
    <w:rsid w:val="000C10ED"/>
    <w:rsid w:val="000D4934"/>
    <w:rsid w:val="000E07B8"/>
    <w:rsid w:val="000E4DA3"/>
    <w:rsid w:val="000E5999"/>
    <w:rsid w:val="000E6515"/>
    <w:rsid w:val="000E7038"/>
    <w:rsid w:val="000F6B4C"/>
    <w:rsid w:val="001000A7"/>
    <w:rsid w:val="00100684"/>
    <w:rsid w:val="00101291"/>
    <w:rsid w:val="0010138D"/>
    <w:rsid w:val="00101A3D"/>
    <w:rsid w:val="00101F16"/>
    <w:rsid w:val="00103459"/>
    <w:rsid w:val="0010565A"/>
    <w:rsid w:val="00124CF9"/>
    <w:rsid w:val="00131952"/>
    <w:rsid w:val="00132185"/>
    <w:rsid w:val="00135CC2"/>
    <w:rsid w:val="00136B1E"/>
    <w:rsid w:val="001373E9"/>
    <w:rsid w:val="0014554F"/>
    <w:rsid w:val="00152811"/>
    <w:rsid w:val="00162ECD"/>
    <w:rsid w:val="00162FE9"/>
    <w:rsid w:val="00167F45"/>
    <w:rsid w:val="00180AAE"/>
    <w:rsid w:val="00182549"/>
    <w:rsid w:val="00182594"/>
    <w:rsid w:val="00184EFE"/>
    <w:rsid w:val="00190754"/>
    <w:rsid w:val="001975A9"/>
    <w:rsid w:val="001A01BA"/>
    <w:rsid w:val="001A31D2"/>
    <w:rsid w:val="001A48A5"/>
    <w:rsid w:val="001B1F67"/>
    <w:rsid w:val="001B2BF6"/>
    <w:rsid w:val="001B64D2"/>
    <w:rsid w:val="001C4566"/>
    <w:rsid w:val="001C45B2"/>
    <w:rsid w:val="001C4FBF"/>
    <w:rsid w:val="001D3D91"/>
    <w:rsid w:val="001E1010"/>
    <w:rsid w:val="001E3C68"/>
    <w:rsid w:val="001E4D86"/>
    <w:rsid w:val="001F3207"/>
    <w:rsid w:val="00200713"/>
    <w:rsid w:val="0020157C"/>
    <w:rsid w:val="00202A9E"/>
    <w:rsid w:val="00204E95"/>
    <w:rsid w:val="0021212F"/>
    <w:rsid w:val="00214393"/>
    <w:rsid w:val="00216C55"/>
    <w:rsid w:val="0021797B"/>
    <w:rsid w:val="002234D1"/>
    <w:rsid w:val="002335AF"/>
    <w:rsid w:val="00236EF9"/>
    <w:rsid w:val="00245C6D"/>
    <w:rsid w:val="00247F0D"/>
    <w:rsid w:val="00247F86"/>
    <w:rsid w:val="00257937"/>
    <w:rsid w:val="00262A51"/>
    <w:rsid w:val="00264696"/>
    <w:rsid w:val="00265E5D"/>
    <w:rsid w:val="00272A44"/>
    <w:rsid w:val="002842F6"/>
    <w:rsid w:val="00287312"/>
    <w:rsid w:val="002876A4"/>
    <w:rsid w:val="00293032"/>
    <w:rsid w:val="00293157"/>
    <w:rsid w:val="00293CBF"/>
    <w:rsid w:val="00293D14"/>
    <w:rsid w:val="00295BDB"/>
    <w:rsid w:val="002A1392"/>
    <w:rsid w:val="002B2887"/>
    <w:rsid w:val="002B75DF"/>
    <w:rsid w:val="002C46E4"/>
    <w:rsid w:val="002C5873"/>
    <w:rsid w:val="002C71A6"/>
    <w:rsid w:val="002D0F6D"/>
    <w:rsid w:val="002E0A71"/>
    <w:rsid w:val="002E6A35"/>
    <w:rsid w:val="002E774B"/>
    <w:rsid w:val="002F2874"/>
    <w:rsid w:val="002F417D"/>
    <w:rsid w:val="002F694B"/>
    <w:rsid w:val="0030225F"/>
    <w:rsid w:val="003056A9"/>
    <w:rsid w:val="00312A75"/>
    <w:rsid w:val="0031390E"/>
    <w:rsid w:val="0032083A"/>
    <w:rsid w:val="00322A48"/>
    <w:rsid w:val="00330366"/>
    <w:rsid w:val="003325BD"/>
    <w:rsid w:val="00333E81"/>
    <w:rsid w:val="003359D4"/>
    <w:rsid w:val="003532A0"/>
    <w:rsid w:val="003606B3"/>
    <w:rsid w:val="00363782"/>
    <w:rsid w:val="0036501C"/>
    <w:rsid w:val="00387D4D"/>
    <w:rsid w:val="00390E60"/>
    <w:rsid w:val="00392951"/>
    <w:rsid w:val="00395E96"/>
    <w:rsid w:val="00396222"/>
    <w:rsid w:val="003964D0"/>
    <w:rsid w:val="003A2E7A"/>
    <w:rsid w:val="003B3FFE"/>
    <w:rsid w:val="003B5DAE"/>
    <w:rsid w:val="003C2E57"/>
    <w:rsid w:val="003C56C0"/>
    <w:rsid w:val="003C6069"/>
    <w:rsid w:val="003C60BC"/>
    <w:rsid w:val="003D1EF4"/>
    <w:rsid w:val="003D66C7"/>
    <w:rsid w:val="003D7BE2"/>
    <w:rsid w:val="003E062D"/>
    <w:rsid w:val="003E66F5"/>
    <w:rsid w:val="003E783D"/>
    <w:rsid w:val="003F0007"/>
    <w:rsid w:val="003F0172"/>
    <w:rsid w:val="003F4EB4"/>
    <w:rsid w:val="003F59F2"/>
    <w:rsid w:val="0040221C"/>
    <w:rsid w:val="00403A94"/>
    <w:rsid w:val="004047C9"/>
    <w:rsid w:val="0040693F"/>
    <w:rsid w:val="00407EE9"/>
    <w:rsid w:val="00407F4C"/>
    <w:rsid w:val="00412EB1"/>
    <w:rsid w:val="00416200"/>
    <w:rsid w:val="00417C8D"/>
    <w:rsid w:val="00422296"/>
    <w:rsid w:val="00424F5B"/>
    <w:rsid w:val="00426C72"/>
    <w:rsid w:val="00426F9B"/>
    <w:rsid w:val="00432B7B"/>
    <w:rsid w:val="004350FB"/>
    <w:rsid w:val="0044559C"/>
    <w:rsid w:val="00445D54"/>
    <w:rsid w:val="004522C5"/>
    <w:rsid w:val="00453641"/>
    <w:rsid w:val="00455BE8"/>
    <w:rsid w:val="004615F3"/>
    <w:rsid w:val="00471BB5"/>
    <w:rsid w:val="004727D2"/>
    <w:rsid w:val="004753B7"/>
    <w:rsid w:val="00480C6B"/>
    <w:rsid w:val="0048229C"/>
    <w:rsid w:val="00490D11"/>
    <w:rsid w:val="004A1CBC"/>
    <w:rsid w:val="004A2882"/>
    <w:rsid w:val="004A5131"/>
    <w:rsid w:val="004B06A7"/>
    <w:rsid w:val="004B0F33"/>
    <w:rsid w:val="004B1C62"/>
    <w:rsid w:val="004B1D64"/>
    <w:rsid w:val="004C36DF"/>
    <w:rsid w:val="004C4A87"/>
    <w:rsid w:val="004D166A"/>
    <w:rsid w:val="004D21C2"/>
    <w:rsid w:val="004D6059"/>
    <w:rsid w:val="004D6C3E"/>
    <w:rsid w:val="004E4B18"/>
    <w:rsid w:val="00501BBC"/>
    <w:rsid w:val="00503C3E"/>
    <w:rsid w:val="00504896"/>
    <w:rsid w:val="00504902"/>
    <w:rsid w:val="00507583"/>
    <w:rsid w:val="00510912"/>
    <w:rsid w:val="00514D62"/>
    <w:rsid w:val="00516A76"/>
    <w:rsid w:val="00521E15"/>
    <w:rsid w:val="00525826"/>
    <w:rsid w:val="00542D84"/>
    <w:rsid w:val="00554807"/>
    <w:rsid w:val="005576E0"/>
    <w:rsid w:val="0056034E"/>
    <w:rsid w:val="00566809"/>
    <w:rsid w:val="0057069F"/>
    <w:rsid w:val="00570746"/>
    <w:rsid w:val="00573522"/>
    <w:rsid w:val="00593A3B"/>
    <w:rsid w:val="00593C77"/>
    <w:rsid w:val="00594FD6"/>
    <w:rsid w:val="005A0FF7"/>
    <w:rsid w:val="005A3518"/>
    <w:rsid w:val="005A3EA2"/>
    <w:rsid w:val="005A7FF2"/>
    <w:rsid w:val="005B0EF8"/>
    <w:rsid w:val="005B1601"/>
    <w:rsid w:val="005B355B"/>
    <w:rsid w:val="005B3D95"/>
    <w:rsid w:val="005B45D8"/>
    <w:rsid w:val="005C29A3"/>
    <w:rsid w:val="005D2252"/>
    <w:rsid w:val="005D3050"/>
    <w:rsid w:val="005D3521"/>
    <w:rsid w:val="005D4B95"/>
    <w:rsid w:val="005D52D9"/>
    <w:rsid w:val="005D6230"/>
    <w:rsid w:val="005D7892"/>
    <w:rsid w:val="005E06B2"/>
    <w:rsid w:val="005F04A2"/>
    <w:rsid w:val="005F226E"/>
    <w:rsid w:val="005F3661"/>
    <w:rsid w:val="005F51A1"/>
    <w:rsid w:val="00600B78"/>
    <w:rsid w:val="00601502"/>
    <w:rsid w:val="00601A21"/>
    <w:rsid w:val="00602CFB"/>
    <w:rsid w:val="00615581"/>
    <w:rsid w:val="00621601"/>
    <w:rsid w:val="006222E0"/>
    <w:rsid w:val="00627221"/>
    <w:rsid w:val="00631B8C"/>
    <w:rsid w:val="00635620"/>
    <w:rsid w:val="006359B5"/>
    <w:rsid w:val="00635C71"/>
    <w:rsid w:val="006454BD"/>
    <w:rsid w:val="006523C5"/>
    <w:rsid w:val="00652B39"/>
    <w:rsid w:val="006557F4"/>
    <w:rsid w:val="0066227A"/>
    <w:rsid w:val="00664A57"/>
    <w:rsid w:val="0067139E"/>
    <w:rsid w:val="00671FF7"/>
    <w:rsid w:val="006812E0"/>
    <w:rsid w:val="00682641"/>
    <w:rsid w:val="00682852"/>
    <w:rsid w:val="0068713A"/>
    <w:rsid w:val="006900F6"/>
    <w:rsid w:val="0069019A"/>
    <w:rsid w:val="00695399"/>
    <w:rsid w:val="00696CB9"/>
    <w:rsid w:val="006A03B9"/>
    <w:rsid w:val="006A2036"/>
    <w:rsid w:val="006A23E0"/>
    <w:rsid w:val="006A2D4C"/>
    <w:rsid w:val="006A4B6B"/>
    <w:rsid w:val="006B48AC"/>
    <w:rsid w:val="006B48C1"/>
    <w:rsid w:val="006B5265"/>
    <w:rsid w:val="006B53D9"/>
    <w:rsid w:val="006B73BC"/>
    <w:rsid w:val="006C02A5"/>
    <w:rsid w:val="006C1DC0"/>
    <w:rsid w:val="006C3188"/>
    <w:rsid w:val="006C75CC"/>
    <w:rsid w:val="006D2254"/>
    <w:rsid w:val="006D27ED"/>
    <w:rsid w:val="006E3734"/>
    <w:rsid w:val="006F0D16"/>
    <w:rsid w:val="006F2BB3"/>
    <w:rsid w:val="006F2C2F"/>
    <w:rsid w:val="006F3179"/>
    <w:rsid w:val="00704D75"/>
    <w:rsid w:val="0070509B"/>
    <w:rsid w:val="00705468"/>
    <w:rsid w:val="00711B92"/>
    <w:rsid w:val="00715006"/>
    <w:rsid w:val="007169DD"/>
    <w:rsid w:val="00723872"/>
    <w:rsid w:val="007273FE"/>
    <w:rsid w:val="00733FF0"/>
    <w:rsid w:val="007402A7"/>
    <w:rsid w:val="00742126"/>
    <w:rsid w:val="007447A5"/>
    <w:rsid w:val="00745343"/>
    <w:rsid w:val="00745405"/>
    <w:rsid w:val="00755280"/>
    <w:rsid w:val="007566DC"/>
    <w:rsid w:val="007614AB"/>
    <w:rsid w:val="007630C4"/>
    <w:rsid w:val="007658BD"/>
    <w:rsid w:val="007713D1"/>
    <w:rsid w:val="00773286"/>
    <w:rsid w:val="00777775"/>
    <w:rsid w:val="00777C7F"/>
    <w:rsid w:val="00783317"/>
    <w:rsid w:val="00786604"/>
    <w:rsid w:val="00787451"/>
    <w:rsid w:val="007966C9"/>
    <w:rsid w:val="0079704E"/>
    <w:rsid w:val="007A0B96"/>
    <w:rsid w:val="007A10F0"/>
    <w:rsid w:val="007A62FB"/>
    <w:rsid w:val="007B24EF"/>
    <w:rsid w:val="007B3107"/>
    <w:rsid w:val="007B6F27"/>
    <w:rsid w:val="007C177B"/>
    <w:rsid w:val="007C45FB"/>
    <w:rsid w:val="007C7615"/>
    <w:rsid w:val="007D1823"/>
    <w:rsid w:val="007D2B28"/>
    <w:rsid w:val="007E07E8"/>
    <w:rsid w:val="007E3596"/>
    <w:rsid w:val="007E4AC3"/>
    <w:rsid w:val="007E72A8"/>
    <w:rsid w:val="007F78A8"/>
    <w:rsid w:val="0080692B"/>
    <w:rsid w:val="00807A44"/>
    <w:rsid w:val="00811A76"/>
    <w:rsid w:val="0081250E"/>
    <w:rsid w:val="00815A96"/>
    <w:rsid w:val="00815EFE"/>
    <w:rsid w:val="00824E8E"/>
    <w:rsid w:val="00826836"/>
    <w:rsid w:val="00827B6F"/>
    <w:rsid w:val="00835167"/>
    <w:rsid w:val="0083626B"/>
    <w:rsid w:val="00841543"/>
    <w:rsid w:val="008420FC"/>
    <w:rsid w:val="00842C80"/>
    <w:rsid w:val="00843E03"/>
    <w:rsid w:val="00844D21"/>
    <w:rsid w:val="0084590D"/>
    <w:rsid w:val="008507E1"/>
    <w:rsid w:val="00853563"/>
    <w:rsid w:val="00863D96"/>
    <w:rsid w:val="00864C3B"/>
    <w:rsid w:val="00875DDF"/>
    <w:rsid w:val="0088054E"/>
    <w:rsid w:val="008839C6"/>
    <w:rsid w:val="00890171"/>
    <w:rsid w:val="00891127"/>
    <w:rsid w:val="0089511F"/>
    <w:rsid w:val="00895D7E"/>
    <w:rsid w:val="008977A5"/>
    <w:rsid w:val="008A2872"/>
    <w:rsid w:val="008A367E"/>
    <w:rsid w:val="008A3EC1"/>
    <w:rsid w:val="008A454C"/>
    <w:rsid w:val="008A4735"/>
    <w:rsid w:val="008A52AB"/>
    <w:rsid w:val="008A698E"/>
    <w:rsid w:val="008A7FF7"/>
    <w:rsid w:val="008B09A6"/>
    <w:rsid w:val="008B0E97"/>
    <w:rsid w:val="008B23F8"/>
    <w:rsid w:val="008B55B8"/>
    <w:rsid w:val="008B5783"/>
    <w:rsid w:val="008C471D"/>
    <w:rsid w:val="008C475B"/>
    <w:rsid w:val="008C7ADA"/>
    <w:rsid w:val="008D22C8"/>
    <w:rsid w:val="008D2D41"/>
    <w:rsid w:val="008D3CE0"/>
    <w:rsid w:val="008D4847"/>
    <w:rsid w:val="008D4A63"/>
    <w:rsid w:val="008D7253"/>
    <w:rsid w:val="008D7639"/>
    <w:rsid w:val="008F6C20"/>
    <w:rsid w:val="00900DB4"/>
    <w:rsid w:val="00901AEF"/>
    <w:rsid w:val="009040D6"/>
    <w:rsid w:val="009061BD"/>
    <w:rsid w:val="00906464"/>
    <w:rsid w:val="00911CF0"/>
    <w:rsid w:val="00913277"/>
    <w:rsid w:val="0091740A"/>
    <w:rsid w:val="00926DF4"/>
    <w:rsid w:val="0092799C"/>
    <w:rsid w:val="00934E73"/>
    <w:rsid w:val="0094254D"/>
    <w:rsid w:val="009430CA"/>
    <w:rsid w:val="0094321F"/>
    <w:rsid w:val="009474F5"/>
    <w:rsid w:val="009518CE"/>
    <w:rsid w:val="00954A3E"/>
    <w:rsid w:val="00957377"/>
    <w:rsid w:val="00957C03"/>
    <w:rsid w:val="00957CBA"/>
    <w:rsid w:val="00967043"/>
    <w:rsid w:val="00970274"/>
    <w:rsid w:val="00974780"/>
    <w:rsid w:val="00974B39"/>
    <w:rsid w:val="0098296F"/>
    <w:rsid w:val="009844C1"/>
    <w:rsid w:val="00984C44"/>
    <w:rsid w:val="009905A3"/>
    <w:rsid w:val="00993A04"/>
    <w:rsid w:val="00997D36"/>
    <w:rsid w:val="009A3ECE"/>
    <w:rsid w:val="009A70E1"/>
    <w:rsid w:val="009B383D"/>
    <w:rsid w:val="009B4504"/>
    <w:rsid w:val="009B791F"/>
    <w:rsid w:val="009C14BE"/>
    <w:rsid w:val="009C4394"/>
    <w:rsid w:val="009D07E7"/>
    <w:rsid w:val="009D2F05"/>
    <w:rsid w:val="009D6A4B"/>
    <w:rsid w:val="009E19BB"/>
    <w:rsid w:val="009E7866"/>
    <w:rsid w:val="009F36EB"/>
    <w:rsid w:val="009F3F15"/>
    <w:rsid w:val="00A0208B"/>
    <w:rsid w:val="00A0533A"/>
    <w:rsid w:val="00A07836"/>
    <w:rsid w:val="00A12186"/>
    <w:rsid w:val="00A211A4"/>
    <w:rsid w:val="00A21815"/>
    <w:rsid w:val="00A30CAC"/>
    <w:rsid w:val="00A30E6D"/>
    <w:rsid w:val="00A310F5"/>
    <w:rsid w:val="00A528B1"/>
    <w:rsid w:val="00A53221"/>
    <w:rsid w:val="00A53CA3"/>
    <w:rsid w:val="00A57789"/>
    <w:rsid w:val="00A62A87"/>
    <w:rsid w:val="00A673F3"/>
    <w:rsid w:val="00A70685"/>
    <w:rsid w:val="00A71B14"/>
    <w:rsid w:val="00A76739"/>
    <w:rsid w:val="00A805F2"/>
    <w:rsid w:val="00A824CA"/>
    <w:rsid w:val="00A825C8"/>
    <w:rsid w:val="00A83BC5"/>
    <w:rsid w:val="00A864E3"/>
    <w:rsid w:val="00A91C36"/>
    <w:rsid w:val="00A926E1"/>
    <w:rsid w:val="00AA36B7"/>
    <w:rsid w:val="00AA579C"/>
    <w:rsid w:val="00AA61C7"/>
    <w:rsid w:val="00AB0AF8"/>
    <w:rsid w:val="00AB0D0F"/>
    <w:rsid w:val="00AB7E14"/>
    <w:rsid w:val="00AC0DE8"/>
    <w:rsid w:val="00AC1A35"/>
    <w:rsid w:val="00AC429D"/>
    <w:rsid w:val="00AC7742"/>
    <w:rsid w:val="00AD0826"/>
    <w:rsid w:val="00AD2D66"/>
    <w:rsid w:val="00AE108B"/>
    <w:rsid w:val="00AE3B3E"/>
    <w:rsid w:val="00AE6B06"/>
    <w:rsid w:val="00AF1F52"/>
    <w:rsid w:val="00AF48EE"/>
    <w:rsid w:val="00AF7AA8"/>
    <w:rsid w:val="00B01A47"/>
    <w:rsid w:val="00B1052B"/>
    <w:rsid w:val="00B14E0F"/>
    <w:rsid w:val="00B14E96"/>
    <w:rsid w:val="00B16126"/>
    <w:rsid w:val="00B16AD1"/>
    <w:rsid w:val="00B26E75"/>
    <w:rsid w:val="00B32513"/>
    <w:rsid w:val="00B33046"/>
    <w:rsid w:val="00B338E4"/>
    <w:rsid w:val="00B362B6"/>
    <w:rsid w:val="00B3705F"/>
    <w:rsid w:val="00B44152"/>
    <w:rsid w:val="00B45EA0"/>
    <w:rsid w:val="00B515D6"/>
    <w:rsid w:val="00B531E0"/>
    <w:rsid w:val="00B53AAE"/>
    <w:rsid w:val="00B630F8"/>
    <w:rsid w:val="00B7083D"/>
    <w:rsid w:val="00B71813"/>
    <w:rsid w:val="00B7270C"/>
    <w:rsid w:val="00B7445A"/>
    <w:rsid w:val="00B74E6A"/>
    <w:rsid w:val="00B83129"/>
    <w:rsid w:val="00B8406D"/>
    <w:rsid w:val="00B850FD"/>
    <w:rsid w:val="00B86262"/>
    <w:rsid w:val="00B87010"/>
    <w:rsid w:val="00B87BD6"/>
    <w:rsid w:val="00B914F3"/>
    <w:rsid w:val="00B92807"/>
    <w:rsid w:val="00B92E2F"/>
    <w:rsid w:val="00B93983"/>
    <w:rsid w:val="00B93B3A"/>
    <w:rsid w:val="00B96311"/>
    <w:rsid w:val="00B968A1"/>
    <w:rsid w:val="00BA002E"/>
    <w:rsid w:val="00BA2D62"/>
    <w:rsid w:val="00BA2E48"/>
    <w:rsid w:val="00BA42A8"/>
    <w:rsid w:val="00BB195A"/>
    <w:rsid w:val="00BB3D41"/>
    <w:rsid w:val="00BB7C6E"/>
    <w:rsid w:val="00BC019F"/>
    <w:rsid w:val="00BC0BB0"/>
    <w:rsid w:val="00BC289A"/>
    <w:rsid w:val="00BC733A"/>
    <w:rsid w:val="00BD3B42"/>
    <w:rsid w:val="00BD3E12"/>
    <w:rsid w:val="00BD70C8"/>
    <w:rsid w:val="00BD73FD"/>
    <w:rsid w:val="00BE022F"/>
    <w:rsid w:val="00BE3214"/>
    <w:rsid w:val="00BE4FDF"/>
    <w:rsid w:val="00BE52B3"/>
    <w:rsid w:val="00BE6CF3"/>
    <w:rsid w:val="00BF3F7C"/>
    <w:rsid w:val="00BF4F13"/>
    <w:rsid w:val="00BF761F"/>
    <w:rsid w:val="00C015CF"/>
    <w:rsid w:val="00C10D65"/>
    <w:rsid w:val="00C148F1"/>
    <w:rsid w:val="00C20D83"/>
    <w:rsid w:val="00C21078"/>
    <w:rsid w:val="00C255B3"/>
    <w:rsid w:val="00C27223"/>
    <w:rsid w:val="00C30A10"/>
    <w:rsid w:val="00C32E2F"/>
    <w:rsid w:val="00C33169"/>
    <w:rsid w:val="00C37B2A"/>
    <w:rsid w:val="00C4066F"/>
    <w:rsid w:val="00C43843"/>
    <w:rsid w:val="00C43B37"/>
    <w:rsid w:val="00C51AAD"/>
    <w:rsid w:val="00C51FCE"/>
    <w:rsid w:val="00C5309E"/>
    <w:rsid w:val="00C54156"/>
    <w:rsid w:val="00C60F61"/>
    <w:rsid w:val="00C62C59"/>
    <w:rsid w:val="00C63392"/>
    <w:rsid w:val="00C74196"/>
    <w:rsid w:val="00C81B79"/>
    <w:rsid w:val="00C81D24"/>
    <w:rsid w:val="00C84551"/>
    <w:rsid w:val="00C853DB"/>
    <w:rsid w:val="00C87157"/>
    <w:rsid w:val="00C90318"/>
    <w:rsid w:val="00C92E4F"/>
    <w:rsid w:val="00C933A9"/>
    <w:rsid w:val="00C97BFF"/>
    <w:rsid w:val="00CA58C9"/>
    <w:rsid w:val="00CA6440"/>
    <w:rsid w:val="00CB4015"/>
    <w:rsid w:val="00CC08DB"/>
    <w:rsid w:val="00CD2072"/>
    <w:rsid w:val="00CE1007"/>
    <w:rsid w:val="00CE35A7"/>
    <w:rsid w:val="00CF15B9"/>
    <w:rsid w:val="00CF73F2"/>
    <w:rsid w:val="00D01CA2"/>
    <w:rsid w:val="00D02F3F"/>
    <w:rsid w:val="00D02F4F"/>
    <w:rsid w:val="00D036AB"/>
    <w:rsid w:val="00D037BA"/>
    <w:rsid w:val="00D04B14"/>
    <w:rsid w:val="00D07B1D"/>
    <w:rsid w:val="00D13991"/>
    <w:rsid w:val="00D1431C"/>
    <w:rsid w:val="00D275B2"/>
    <w:rsid w:val="00D3425F"/>
    <w:rsid w:val="00D34EA5"/>
    <w:rsid w:val="00D36D33"/>
    <w:rsid w:val="00D417EB"/>
    <w:rsid w:val="00D43A1F"/>
    <w:rsid w:val="00D464D2"/>
    <w:rsid w:val="00D471A0"/>
    <w:rsid w:val="00D51BEE"/>
    <w:rsid w:val="00D555D2"/>
    <w:rsid w:val="00D56CB3"/>
    <w:rsid w:val="00D618EE"/>
    <w:rsid w:val="00D61BCA"/>
    <w:rsid w:val="00D65665"/>
    <w:rsid w:val="00D71578"/>
    <w:rsid w:val="00D75E19"/>
    <w:rsid w:val="00D7776B"/>
    <w:rsid w:val="00D8214E"/>
    <w:rsid w:val="00D830E9"/>
    <w:rsid w:val="00D8360D"/>
    <w:rsid w:val="00D83AE8"/>
    <w:rsid w:val="00D8554A"/>
    <w:rsid w:val="00D87951"/>
    <w:rsid w:val="00D91F4F"/>
    <w:rsid w:val="00D92C25"/>
    <w:rsid w:val="00DA49A8"/>
    <w:rsid w:val="00DC521C"/>
    <w:rsid w:val="00DC5F8A"/>
    <w:rsid w:val="00DC7CC5"/>
    <w:rsid w:val="00DE1142"/>
    <w:rsid w:val="00DE284C"/>
    <w:rsid w:val="00DF07C9"/>
    <w:rsid w:val="00E00731"/>
    <w:rsid w:val="00E02D47"/>
    <w:rsid w:val="00E22952"/>
    <w:rsid w:val="00E25521"/>
    <w:rsid w:val="00E272E8"/>
    <w:rsid w:val="00E322F8"/>
    <w:rsid w:val="00E32840"/>
    <w:rsid w:val="00E32FBC"/>
    <w:rsid w:val="00E35592"/>
    <w:rsid w:val="00E40485"/>
    <w:rsid w:val="00E41BE7"/>
    <w:rsid w:val="00E42336"/>
    <w:rsid w:val="00E434A3"/>
    <w:rsid w:val="00E4649E"/>
    <w:rsid w:val="00E47AA0"/>
    <w:rsid w:val="00E5005E"/>
    <w:rsid w:val="00E550DA"/>
    <w:rsid w:val="00E55865"/>
    <w:rsid w:val="00E60284"/>
    <w:rsid w:val="00E716A7"/>
    <w:rsid w:val="00E770B6"/>
    <w:rsid w:val="00E779A1"/>
    <w:rsid w:val="00E9133F"/>
    <w:rsid w:val="00E96AB1"/>
    <w:rsid w:val="00EA1E54"/>
    <w:rsid w:val="00EA278D"/>
    <w:rsid w:val="00EB20A9"/>
    <w:rsid w:val="00EC0A20"/>
    <w:rsid w:val="00EC2CE2"/>
    <w:rsid w:val="00EC315B"/>
    <w:rsid w:val="00EC34BE"/>
    <w:rsid w:val="00EC5D3A"/>
    <w:rsid w:val="00ED2591"/>
    <w:rsid w:val="00ED29E2"/>
    <w:rsid w:val="00EE280E"/>
    <w:rsid w:val="00EE53F7"/>
    <w:rsid w:val="00EE7C0D"/>
    <w:rsid w:val="00EE7FA3"/>
    <w:rsid w:val="00EF0B02"/>
    <w:rsid w:val="00EF2084"/>
    <w:rsid w:val="00EF3ED3"/>
    <w:rsid w:val="00EF43CD"/>
    <w:rsid w:val="00EF4936"/>
    <w:rsid w:val="00EF74AB"/>
    <w:rsid w:val="00F06A14"/>
    <w:rsid w:val="00F125EA"/>
    <w:rsid w:val="00F13B15"/>
    <w:rsid w:val="00F204B6"/>
    <w:rsid w:val="00F303BA"/>
    <w:rsid w:val="00F305C9"/>
    <w:rsid w:val="00F30652"/>
    <w:rsid w:val="00F35019"/>
    <w:rsid w:val="00F36B93"/>
    <w:rsid w:val="00F37D17"/>
    <w:rsid w:val="00F40488"/>
    <w:rsid w:val="00F43B2C"/>
    <w:rsid w:val="00F50C84"/>
    <w:rsid w:val="00F53F9E"/>
    <w:rsid w:val="00F56F3C"/>
    <w:rsid w:val="00F60DA2"/>
    <w:rsid w:val="00F64991"/>
    <w:rsid w:val="00F66429"/>
    <w:rsid w:val="00F7004C"/>
    <w:rsid w:val="00F718F4"/>
    <w:rsid w:val="00F72C16"/>
    <w:rsid w:val="00F84E2E"/>
    <w:rsid w:val="00F86708"/>
    <w:rsid w:val="00F934CC"/>
    <w:rsid w:val="00F96E3B"/>
    <w:rsid w:val="00FA0583"/>
    <w:rsid w:val="00FA71A9"/>
    <w:rsid w:val="00FB0D3A"/>
    <w:rsid w:val="00FB264C"/>
    <w:rsid w:val="00FC60B3"/>
    <w:rsid w:val="00FD04B0"/>
    <w:rsid w:val="00FD36F0"/>
    <w:rsid w:val="00FD3B0D"/>
    <w:rsid w:val="00FE0CCA"/>
    <w:rsid w:val="00FE400D"/>
    <w:rsid w:val="00FF2070"/>
    <w:rsid w:val="00FF2824"/>
    <w:rsid w:val="00FF3C40"/>
    <w:rsid w:val="00FF4E9E"/>
    <w:rsid w:val="00FF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33429"/>
  <w15:chartTrackingRefBased/>
  <w15:docId w15:val="{B51F00BE-E68F-4B1F-BD65-C60DC774A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07EE9"/>
    <w:pPr>
      <w:keepNext/>
      <w:spacing w:before="240" w:after="60" w:line="360" w:lineRule="auto"/>
      <w:outlineLvl w:val="0"/>
    </w:pPr>
    <w:rPr>
      <w:rFonts w:ascii="Arial" w:eastAsia="Times New Roman" w:hAnsi="Arial" w:cs="Times New Roman"/>
      <w:b/>
      <w:bCs/>
      <w:kern w:val="32"/>
      <w:sz w:val="24"/>
      <w:szCs w:val="32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407EE9"/>
    <w:pPr>
      <w:keepLines/>
      <w:spacing w:after="240"/>
      <w:outlineLvl w:val="1"/>
    </w:pPr>
    <w:rPr>
      <w:rFonts w:eastAsiaTheme="majorEastAsia" w:cstheme="majorBidi"/>
      <w:i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07EE9"/>
    <w:rPr>
      <w:rFonts w:ascii="Arial" w:eastAsia="Times New Roman" w:hAnsi="Arial" w:cs="Times New Roman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07EE9"/>
    <w:rPr>
      <w:rFonts w:ascii="Arial" w:eastAsiaTheme="majorEastAsia" w:hAnsi="Arial" w:cstheme="majorBidi"/>
      <w:b/>
      <w:bCs/>
      <w:i/>
      <w:kern w:val="32"/>
      <w:sz w:val="24"/>
      <w:szCs w:val="26"/>
    </w:rPr>
  </w:style>
  <w:style w:type="character" w:customStyle="1" w:styleId="normaltextrun">
    <w:name w:val="normaltextrun"/>
    <w:basedOn w:val="Domylnaczcionkaakapitu"/>
    <w:rsid w:val="00407EE9"/>
  </w:style>
  <w:style w:type="paragraph" w:styleId="Akapitzlist">
    <w:name w:val="List Paragraph"/>
    <w:aliases w:val="Numerowanie,List Paragraph,L1,Akapit z listą4,CW_Lista,Podsis rysunku,Akapit z listą numerowaną,BulletC,Wyliczanie,Obiekt,normalny tekst,Akapit z listą31,Bullets,List Paragraph1,Akapit z listą5,lp1,List Paragraph2,Bullet Number,lp11"/>
    <w:basedOn w:val="Normalny"/>
    <w:link w:val="AkapitzlistZnak"/>
    <w:uiPriority w:val="34"/>
    <w:qFormat/>
    <w:rsid w:val="00407EE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864C3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864C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864C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4C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4C3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45405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840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406D"/>
  </w:style>
  <w:style w:type="paragraph" w:styleId="Stopka">
    <w:name w:val="footer"/>
    <w:basedOn w:val="Normalny"/>
    <w:link w:val="StopkaZnak"/>
    <w:uiPriority w:val="99"/>
    <w:unhideWhenUsed/>
    <w:rsid w:val="00B840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406D"/>
  </w:style>
  <w:style w:type="character" w:styleId="Hipercze">
    <w:name w:val="Hyperlink"/>
    <w:basedOn w:val="Domylnaczcionkaakapitu"/>
    <w:uiPriority w:val="99"/>
    <w:unhideWhenUsed/>
    <w:rsid w:val="00F305C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305C9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F305C9"/>
    <w:rPr>
      <w:color w:val="954F72" w:themeColor="followedHyperlink"/>
      <w:u w:val="single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o,fn,Przyp"/>
    <w:basedOn w:val="Normalny"/>
    <w:link w:val="TekstprzypisudolnegoZnak"/>
    <w:uiPriority w:val="99"/>
    <w:qFormat/>
    <w:rsid w:val="00E322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E322F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uiPriority w:val="99"/>
    <w:rsid w:val="00E322F8"/>
    <w:rPr>
      <w:vertAlign w:val="superscript"/>
    </w:rPr>
  </w:style>
  <w:style w:type="character" w:customStyle="1" w:styleId="AkapitzlistZnak">
    <w:name w:val="Akapit z listą Znak"/>
    <w:aliases w:val="Numerowanie Znak,List Paragraph Znak,L1 Znak,Akapit z listą4 Znak,CW_Lista Znak,Podsis rysunku Znak,Akapit z listą numerowaną Znak,BulletC Znak,Wyliczanie Znak,Obiekt Znak,normalny tekst Znak,Akapit z listą31 Znak,Bullets Znak"/>
    <w:basedOn w:val="Domylnaczcionkaakapitu"/>
    <w:link w:val="Akapitzlist"/>
    <w:uiPriority w:val="34"/>
    <w:qFormat/>
    <w:locked/>
    <w:rsid w:val="00811A76"/>
  </w:style>
  <w:style w:type="table" w:styleId="Tabela-Siatka">
    <w:name w:val="Table Grid"/>
    <w:basedOn w:val="Standardowy"/>
    <w:uiPriority w:val="39"/>
    <w:rsid w:val="00293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D87951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8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49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6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5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8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0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6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3E9AA-F3D8-4336-849A-A0432A1C3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13</Pages>
  <Words>4623</Words>
  <Characters>27743</Characters>
  <Application>Microsoft Office Word</Application>
  <DocSecurity>0</DocSecurity>
  <Lines>231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Kopańska Monika</dc:creator>
  <cp:keywords/>
  <dc:description/>
  <cp:lastModifiedBy>Kobryn Marta</cp:lastModifiedBy>
  <cp:revision>51</cp:revision>
  <cp:lastPrinted>2024-10-03T11:56:00Z</cp:lastPrinted>
  <dcterms:created xsi:type="dcterms:W3CDTF">2025-05-27T09:04:00Z</dcterms:created>
  <dcterms:modified xsi:type="dcterms:W3CDTF">2025-07-10T15:35:00Z</dcterms:modified>
</cp:coreProperties>
</file>